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6C1" w:rsidRPr="007111F6" w:rsidRDefault="0078649E">
      <w:pPr>
        <w:ind w:left="567" w:right="-426"/>
        <w:jc w:val="right"/>
        <w:rPr>
          <w:rFonts w:cs="Times New Roman"/>
          <w:bCs/>
          <w:sz w:val="20"/>
          <w:szCs w:val="20"/>
        </w:rPr>
      </w:pPr>
      <w:r w:rsidRPr="007111F6">
        <w:rPr>
          <w:rFonts w:cs="Times New Roman"/>
          <w:bCs/>
          <w:sz w:val="20"/>
          <w:szCs w:val="20"/>
        </w:rPr>
        <w:t>Приложение №5</w:t>
      </w:r>
    </w:p>
    <w:p w:rsidR="009176C1" w:rsidRPr="007111F6" w:rsidRDefault="0078649E">
      <w:pPr>
        <w:ind w:left="567" w:right="-426"/>
        <w:jc w:val="right"/>
        <w:rPr>
          <w:rFonts w:cs="Times New Roman"/>
          <w:bCs/>
          <w:sz w:val="20"/>
          <w:szCs w:val="20"/>
        </w:rPr>
      </w:pPr>
      <w:r w:rsidRPr="007111F6">
        <w:rPr>
          <w:rFonts w:cs="Times New Roman"/>
          <w:bCs/>
          <w:sz w:val="20"/>
          <w:szCs w:val="20"/>
        </w:rPr>
        <w:t>к извещению на проведение запроса</w:t>
      </w:r>
    </w:p>
    <w:p w:rsidR="009176C1" w:rsidRPr="007111F6" w:rsidRDefault="008166C5">
      <w:pPr>
        <w:ind w:right="-426"/>
        <w:jc w:val="right"/>
        <w:rPr>
          <w:rFonts w:cs="Times New Roman"/>
          <w:bCs/>
          <w:sz w:val="20"/>
          <w:szCs w:val="20"/>
        </w:rPr>
      </w:pPr>
      <w:r>
        <w:rPr>
          <w:rFonts w:cs="Times New Roman"/>
          <w:bCs/>
          <w:sz w:val="20"/>
          <w:szCs w:val="20"/>
        </w:rPr>
        <w:t xml:space="preserve">оферт </w:t>
      </w:r>
      <w:r w:rsidR="0078649E" w:rsidRPr="007111F6">
        <w:rPr>
          <w:rFonts w:cs="Times New Roman"/>
          <w:bCs/>
          <w:sz w:val="20"/>
          <w:szCs w:val="20"/>
        </w:rPr>
        <w:t>в электронной форме</w:t>
      </w:r>
    </w:p>
    <w:p w:rsidR="009176C1" w:rsidRDefault="009176C1">
      <w:pPr>
        <w:ind w:right="-426"/>
        <w:rPr>
          <w:rFonts w:cs="Times New Roman"/>
          <w:b/>
          <w:sz w:val="20"/>
          <w:szCs w:val="20"/>
        </w:rPr>
      </w:pPr>
    </w:p>
    <w:p w:rsidR="009176C1" w:rsidRDefault="009176C1">
      <w:pPr>
        <w:rPr>
          <w:rFonts w:cs="Times New Roman"/>
          <w:b/>
          <w:sz w:val="20"/>
          <w:szCs w:val="20"/>
        </w:rPr>
      </w:pPr>
    </w:p>
    <w:p w:rsidR="009176C1" w:rsidRDefault="0078649E">
      <w:pPr>
        <w:pStyle w:val="ConsPlusNormal"/>
        <w:jc w:val="center"/>
        <w:rPr>
          <w:b/>
        </w:rPr>
      </w:pPr>
      <w:r>
        <w:rPr>
          <w:b/>
        </w:rPr>
        <w:t>ТЕХНИЧЕСКОЕ ЗАДАНИЕ</w:t>
      </w:r>
    </w:p>
    <w:p w:rsidR="009176C1" w:rsidRDefault="009176C1">
      <w:pPr>
        <w:pStyle w:val="ConsPlusNormal"/>
        <w:ind w:right="-426"/>
        <w:jc w:val="center"/>
        <w:rPr>
          <w:b/>
        </w:rPr>
      </w:pPr>
    </w:p>
    <w:p w:rsidR="009176C1" w:rsidRDefault="0078649E">
      <w:pPr>
        <w:ind w:left="-1134" w:right="-426" w:firstLine="709"/>
        <w:jc w:val="both"/>
        <w:rPr>
          <w:rFonts w:eastAsia="Times New Roman" w:cs="Times New Roman"/>
          <w:sz w:val="20"/>
          <w:szCs w:val="20"/>
          <w:lang w:eastAsia="ru-RU"/>
        </w:rPr>
      </w:pPr>
      <w:r>
        <w:rPr>
          <w:rFonts w:eastAsia="Times New Roman" w:cs="Times New Roman"/>
          <w:b/>
          <w:bCs/>
          <w:sz w:val="20"/>
          <w:szCs w:val="20"/>
          <w:lang w:eastAsia="ru-RU"/>
        </w:rPr>
        <w:t xml:space="preserve">1. Требования, установленные заказчиком </w:t>
      </w:r>
      <w:r>
        <w:rPr>
          <w:rFonts w:eastAsia="Times New Roman" w:cs="Times New Roman"/>
          <w:sz w:val="20"/>
          <w:szCs w:val="20"/>
          <w:lang w:eastAsia="ru-RU"/>
        </w:rPr>
        <w:t>к количественным, функциональным характеристикам (потребительским свойствам) товара, и иные показатели, связанные с определением соответствия поставляемого товара.</w:t>
      </w:r>
    </w:p>
    <w:tbl>
      <w:tblPr>
        <w:tblStyle w:val="afa"/>
        <w:tblW w:w="11057" w:type="dxa"/>
        <w:tblInd w:w="-1168" w:type="dxa"/>
        <w:tblLook w:val="04A0" w:firstRow="1" w:lastRow="0" w:firstColumn="1" w:lastColumn="0" w:noHBand="0" w:noVBand="1"/>
      </w:tblPr>
      <w:tblGrid>
        <w:gridCol w:w="702"/>
        <w:gridCol w:w="1000"/>
        <w:gridCol w:w="1275"/>
        <w:gridCol w:w="1560"/>
        <w:gridCol w:w="4536"/>
        <w:gridCol w:w="1984"/>
      </w:tblGrid>
      <w:tr w:rsidR="001C7E21" w:rsidTr="0088152C">
        <w:tc>
          <w:tcPr>
            <w:tcW w:w="702" w:type="dxa"/>
            <w:vAlign w:val="center"/>
          </w:tcPr>
          <w:p w:rsidR="001C7E21" w:rsidRPr="004C1103" w:rsidRDefault="001C7E21" w:rsidP="0088152C">
            <w:pPr>
              <w:jc w:val="center"/>
              <w:rPr>
                <w:rFonts w:cs="Times New Roman"/>
                <w:b/>
              </w:rPr>
            </w:pPr>
            <w:r w:rsidRPr="004C1103">
              <w:rPr>
                <w:rFonts w:cs="Times New Roman"/>
                <w:b/>
                <w:sz w:val="18"/>
                <w:szCs w:val="18"/>
              </w:rPr>
              <w:t xml:space="preserve">№ </w:t>
            </w:r>
            <w:proofErr w:type="gramStart"/>
            <w:r w:rsidRPr="004C1103">
              <w:rPr>
                <w:rFonts w:cs="Times New Roman"/>
                <w:b/>
                <w:sz w:val="18"/>
                <w:szCs w:val="18"/>
              </w:rPr>
              <w:t>п</w:t>
            </w:r>
            <w:proofErr w:type="gramEnd"/>
            <w:r w:rsidRPr="004C1103">
              <w:rPr>
                <w:rFonts w:cs="Times New Roman"/>
                <w:b/>
                <w:sz w:val="18"/>
                <w:szCs w:val="18"/>
                <w:lang w:val="en-US"/>
              </w:rPr>
              <w:t>/</w:t>
            </w:r>
            <w:r w:rsidRPr="004C1103">
              <w:rPr>
                <w:rFonts w:cs="Times New Roman"/>
                <w:b/>
                <w:sz w:val="18"/>
                <w:szCs w:val="18"/>
              </w:rPr>
              <w:t>п</w:t>
            </w:r>
          </w:p>
        </w:tc>
        <w:tc>
          <w:tcPr>
            <w:tcW w:w="1000" w:type="dxa"/>
            <w:vAlign w:val="center"/>
          </w:tcPr>
          <w:p w:rsidR="001C7E21" w:rsidRPr="004C1103" w:rsidRDefault="001C7E21" w:rsidP="0088152C">
            <w:pPr>
              <w:jc w:val="center"/>
              <w:rPr>
                <w:rFonts w:cs="Times New Roman"/>
                <w:b/>
              </w:rPr>
            </w:pPr>
            <w:r w:rsidRPr="004C1103">
              <w:rPr>
                <w:rFonts w:cs="Times New Roman"/>
                <w:b/>
                <w:sz w:val="18"/>
                <w:szCs w:val="18"/>
              </w:rPr>
              <w:t>Код по ОКВЭД</w:t>
            </w:r>
            <w:proofErr w:type="gramStart"/>
            <w:r w:rsidRPr="004C1103">
              <w:rPr>
                <w:rFonts w:cs="Times New Roman"/>
                <w:b/>
                <w:sz w:val="18"/>
                <w:szCs w:val="18"/>
              </w:rPr>
              <w:t>2</w:t>
            </w:r>
            <w:proofErr w:type="gramEnd"/>
          </w:p>
        </w:tc>
        <w:tc>
          <w:tcPr>
            <w:tcW w:w="1275" w:type="dxa"/>
            <w:vAlign w:val="center"/>
          </w:tcPr>
          <w:p w:rsidR="001C7E21" w:rsidRPr="004C1103" w:rsidRDefault="001C7E21" w:rsidP="0088152C">
            <w:pPr>
              <w:jc w:val="center"/>
              <w:rPr>
                <w:rFonts w:cs="Times New Roman"/>
                <w:b/>
              </w:rPr>
            </w:pPr>
            <w:r w:rsidRPr="004C1103">
              <w:rPr>
                <w:rFonts w:cs="Times New Roman"/>
                <w:b/>
                <w:sz w:val="18"/>
                <w:szCs w:val="18"/>
              </w:rPr>
              <w:t>Код ОКПД</w:t>
            </w:r>
            <w:proofErr w:type="gramStart"/>
            <w:r w:rsidRPr="004C1103">
              <w:rPr>
                <w:rFonts w:cs="Times New Roman"/>
                <w:b/>
                <w:sz w:val="18"/>
                <w:szCs w:val="18"/>
              </w:rPr>
              <w:t>2</w:t>
            </w:r>
            <w:proofErr w:type="gramEnd"/>
          </w:p>
        </w:tc>
        <w:tc>
          <w:tcPr>
            <w:tcW w:w="1560" w:type="dxa"/>
            <w:vAlign w:val="center"/>
          </w:tcPr>
          <w:p w:rsidR="001C7E21" w:rsidRPr="004C1103" w:rsidRDefault="001C7E21" w:rsidP="0088152C">
            <w:pPr>
              <w:jc w:val="center"/>
              <w:rPr>
                <w:rFonts w:cs="Times New Roman"/>
                <w:b/>
              </w:rPr>
            </w:pPr>
            <w:r w:rsidRPr="004C1103">
              <w:rPr>
                <w:rFonts w:cs="Times New Roman"/>
                <w:b/>
                <w:sz w:val="18"/>
                <w:szCs w:val="18"/>
              </w:rPr>
              <w:t>Наименование Товара</w:t>
            </w:r>
          </w:p>
        </w:tc>
        <w:tc>
          <w:tcPr>
            <w:tcW w:w="4536" w:type="dxa"/>
            <w:vAlign w:val="center"/>
          </w:tcPr>
          <w:p w:rsidR="001C7E21" w:rsidRPr="004C1103" w:rsidRDefault="001C7E21" w:rsidP="0088152C">
            <w:pPr>
              <w:pStyle w:val="af9"/>
              <w:jc w:val="center"/>
              <w:rPr>
                <w:rFonts w:eastAsia="Times New Roman" w:cs="Times New Roman"/>
                <w:b/>
                <w:sz w:val="20"/>
                <w:szCs w:val="18"/>
                <w:lang w:eastAsia="ru-RU"/>
              </w:rPr>
            </w:pPr>
            <w:r w:rsidRPr="004C1103">
              <w:rPr>
                <w:rFonts w:eastAsia="Times New Roman" w:cs="Times New Roman"/>
                <w:b/>
                <w:sz w:val="20"/>
                <w:szCs w:val="18"/>
                <w:lang w:eastAsia="ru-RU"/>
              </w:rPr>
              <w:t>Технические и функциональные характеристики товара</w:t>
            </w:r>
          </w:p>
          <w:p w:rsidR="001C7E21" w:rsidRPr="004C1103" w:rsidRDefault="001C7E21" w:rsidP="0088152C">
            <w:pPr>
              <w:jc w:val="center"/>
              <w:rPr>
                <w:rFonts w:cs="Times New Roman"/>
                <w:b/>
              </w:rPr>
            </w:pPr>
            <w:r w:rsidRPr="004C1103">
              <w:rPr>
                <w:rFonts w:eastAsia="Times New Roman" w:cs="Times New Roman"/>
                <w:b/>
                <w:sz w:val="20"/>
                <w:szCs w:val="18"/>
                <w:lang w:eastAsia="ru-RU"/>
              </w:rPr>
              <w:t>(описание объекта закупки)</w:t>
            </w:r>
          </w:p>
        </w:tc>
        <w:tc>
          <w:tcPr>
            <w:tcW w:w="1984" w:type="dxa"/>
            <w:vAlign w:val="center"/>
          </w:tcPr>
          <w:p w:rsidR="001C7E21" w:rsidRPr="004C1103" w:rsidRDefault="001C7E21" w:rsidP="0088152C">
            <w:pPr>
              <w:jc w:val="center"/>
              <w:rPr>
                <w:rFonts w:cs="Times New Roman"/>
                <w:b/>
              </w:rPr>
            </w:pPr>
            <w:r w:rsidRPr="004C1103">
              <w:rPr>
                <w:rFonts w:cs="Times New Roman"/>
                <w:b/>
                <w:sz w:val="18"/>
                <w:szCs w:val="18"/>
              </w:rPr>
              <w:t xml:space="preserve">Количество поставляемого товара (Объём, </w:t>
            </w:r>
            <w:proofErr w:type="gramStart"/>
            <w:r w:rsidRPr="004C1103">
              <w:rPr>
                <w:rFonts w:cs="Times New Roman"/>
                <w:b/>
                <w:sz w:val="18"/>
                <w:szCs w:val="18"/>
              </w:rPr>
              <w:t>кг</w:t>
            </w:r>
            <w:proofErr w:type="gramEnd"/>
            <w:r w:rsidRPr="004C1103">
              <w:rPr>
                <w:rFonts w:cs="Times New Roman"/>
                <w:b/>
                <w:sz w:val="18"/>
                <w:szCs w:val="18"/>
              </w:rPr>
              <w:t>)</w:t>
            </w:r>
          </w:p>
        </w:tc>
      </w:tr>
      <w:tr w:rsidR="001C7E21" w:rsidTr="0088152C">
        <w:tc>
          <w:tcPr>
            <w:tcW w:w="702" w:type="dxa"/>
            <w:vAlign w:val="center"/>
          </w:tcPr>
          <w:p w:rsidR="001C7E21" w:rsidRPr="00D3571B" w:rsidRDefault="001C7E21" w:rsidP="0088152C">
            <w:pPr>
              <w:jc w:val="center"/>
              <w:rPr>
                <w:rFonts w:cs="Times New Roman"/>
                <w:color w:val="000000" w:themeColor="text1"/>
                <w:sz w:val="18"/>
                <w:szCs w:val="18"/>
              </w:rPr>
            </w:pPr>
            <w:r w:rsidRPr="00D3571B">
              <w:rPr>
                <w:rFonts w:cs="Times New Roman"/>
                <w:color w:val="000000" w:themeColor="text1"/>
                <w:sz w:val="18"/>
                <w:szCs w:val="18"/>
              </w:rPr>
              <w:t>1</w:t>
            </w:r>
          </w:p>
        </w:tc>
        <w:tc>
          <w:tcPr>
            <w:tcW w:w="1000" w:type="dxa"/>
            <w:vAlign w:val="center"/>
          </w:tcPr>
          <w:p w:rsidR="001C7E21" w:rsidRPr="00D3571B" w:rsidRDefault="001C7E21" w:rsidP="0088152C">
            <w:pPr>
              <w:jc w:val="center"/>
              <w:rPr>
                <w:rFonts w:cs="Times New Roman"/>
                <w:color w:val="000000" w:themeColor="text1"/>
                <w:sz w:val="18"/>
                <w:szCs w:val="18"/>
              </w:rPr>
            </w:pPr>
            <w:r w:rsidRPr="00D3571B">
              <w:rPr>
                <w:rFonts w:cs="Times New Roman"/>
                <w:color w:val="000000" w:themeColor="text1"/>
                <w:sz w:val="18"/>
                <w:szCs w:val="18"/>
              </w:rPr>
              <w:t>10.11</w:t>
            </w:r>
            <w:r w:rsidR="0088152C">
              <w:rPr>
                <w:rFonts w:cs="Times New Roman"/>
                <w:color w:val="000000" w:themeColor="text1"/>
                <w:sz w:val="18"/>
                <w:szCs w:val="18"/>
              </w:rPr>
              <w:t>.3</w:t>
            </w:r>
          </w:p>
        </w:tc>
        <w:tc>
          <w:tcPr>
            <w:tcW w:w="1275" w:type="dxa"/>
            <w:vAlign w:val="center"/>
          </w:tcPr>
          <w:p w:rsidR="001C7E21" w:rsidRDefault="001C7E21" w:rsidP="0088152C">
            <w:pPr>
              <w:jc w:val="center"/>
              <w:rPr>
                <w:rFonts w:cs="Times New Roman"/>
                <w:color w:val="000000" w:themeColor="text1"/>
                <w:sz w:val="18"/>
                <w:szCs w:val="18"/>
                <w:shd w:val="clear" w:color="auto" w:fill="FFFFFF"/>
              </w:rPr>
            </w:pPr>
          </w:p>
          <w:p w:rsidR="001C7E21" w:rsidRPr="00D3571B" w:rsidRDefault="001C7E21" w:rsidP="0088152C">
            <w:pPr>
              <w:jc w:val="center"/>
              <w:rPr>
                <w:rFonts w:cs="Times New Roman"/>
                <w:color w:val="000000" w:themeColor="text1"/>
                <w:sz w:val="18"/>
                <w:szCs w:val="18"/>
              </w:rPr>
            </w:pPr>
            <w:r w:rsidRPr="00D3571B">
              <w:rPr>
                <w:rFonts w:cs="Times New Roman"/>
                <w:color w:val="000000" w:themeColor="text1"/>
                <w:sz w:val="18"/>
                <w:szCs w:val="18"/>
                <w:shd w:val="clear" w:color="auto" w:fill="FFFFFF"/>
              </w:rPr>
              <w:t>10.11.31.110</w:t>
            </w:r>
          </w:p>
          <w:p w:rsidR="001C7E21" w:rsidRPr="00D3571B" w:rsidRDefault="001C7E21" w:rsidP="0088152C">
            <w:pPr>
              <w:jc w:val="center"/>
              <w:rPr>
                <w:rFonts w:cs="Times New Roman"/>
                <w:color w:val="000000" w:themeColor="text1"/>
                <w:sz w:val="18"/>
                <w:szCs w:val="18"/>
              </w:rPr>
            </w:pPr>
          </w:p>
        </w:tc>
        <w:tc>
          <w:tcPr>
            <w:tcW w:w="1560" w:type="dxa"/>
            <w:vAlign w:val="center"/>
          </w:tcPr>
          <w:p w:rsidR="001C7E21" w:rsidRPr="00D3571B" w:rsidRDefault="001C7E21" w:rsidP="0088152C">
            <w:pPr>
              <w:rPr>
                <w:rFonts w:cs="Times New Roman"/>
                <w:color w:val="000000" w:themeColor="text1"/>
                <w:sz w:val="18"/>
                <w:szCs w:val="18"/>
              </w:rPr>
            </w:pPr>
            <w:r w:rsidRPr="00D3571B">
              <w:rPr>
                <w:rFonts w:cs="Times New Roman"/>
                <w:color w:val="000000" w:themeColor="text1"/>
                <w:sz w:val="18"/>
                <w:szCs w:val="18"/>
              </w:rPr>
              <w:t>Мясо говядина замороженное б/</w:t>
            </w:r>
            <w:proofErr w:type="gramStart"/>
            <w:r w:rsidRPr="00D3571B">
              <w:rPr>
                <w:rFonts w:cs="Times New Roman"/>
                <w:color w:val="000000" w:themeColor="text1"/>
                <w:sz w:val="18"/>
                <w:szCs w:val="18"/>
              </w:rPr>
              <w:t>к</w:t>
            </w:r>
            <w:proofErr w:type="gramEnd"/>
          </w:p>
        </w:tc>
        <w:tc>
          <w:tcPr>
            <w:tcW w:w="4536" w:type="dxa"/>
          </w:tcPr>
          <w:p w:rsidR="001C7E21" w:rsidRPr="00D3571B" w:rsidRDefault="001C7E21" w:rsidP="0088152C">
            <w:pPr>
              <w:rPr>
                <w:rFonts w:cs="Times New Roman"/>
                <w:color w:val="000000" w:themeColor="text1"/>
                <w:sz w:val="18"/>
                <w:szCs w:val="18"/>
              </w:rPr>
            </w:pPr>
            <w:r w:rsidRPr="00D3571B">
              <w:rPr>
                <w:rFonts w:eastAsia="Times New Roman" w:cs="Times New Roman"/>
                <w:color w:val="000000" w:themeColor="text1"/>
                <w:sz w:val="18"/>
                <w:szCs w:val="18"/>
                <w:lang w:eastAsia="ru-RU"/>
              </w:rPr>
              <w:t xml:space="preserve">Мясо говядины замороженное, не ниже 1 сорта, бескостное, задняя часть, правильно обработанное, свежее, без </w:t>
            </w:r>
            <w:r w:rsidRPr="009920E9">
              <w:rPr>
                <w:rFonts w:eastAsia="Times New Roman" w:cs="Times New Roman"/>
                <w:color w:val="000000" w:themeColor="text1"/>
                <w:sz w:val="18"/>
                <w:szCs w:val="18"/>
                <w:lang w:eastAsia="ru-RU"/>
              </w:rPr>
              <w:t>признаков порчи, дефектов. Без красителей и стабилизаторов.  Соответствие нормативной документации  ГОСТ 31797 – 2012 «Мясо говядины разделка на отруби. Технические условия», Сертификат соответствия, ветеринарное свидетельство формы № 2, ветеринарная справка № 4.  Обязательное</w:t>
            </w:r>
            <w:r w:rsidRPr="00D3571B">
              <w:rPr>
                <w:rFonts w:eastAsia="Times New Roman" w:cs="Times New Roman"/>
                <w:color w:val="000000" w:themeColor="text1"/>
                <w:sz w:val="18"/>
                <w:szCs w:val="18"/>
                <w:lang w:eastAsia="ru-RU"/>
              </w:rPr>
              <w:t xml:space="preserve"> наличие документов, подтверждающих качество продукции.</w:t>
            </w:r>
          </w:p>
        </w:tc>
        <w:tc>
          <w:tcPr>
            <w:tcW w:w="1984" w:type="dxa"/>
            <w:vAlign w:val="center"/>
          </w:tcPr>
          <w:p w:rsidR="001C7E21" w:rsidRPr="00D3571B" w:rsidRDefault="001C7E21" w:rsidP="0088152C">
            <w:pPr>
              <w:jc w:val="center"/>
              <w:rPr>
                <w:rFonts w:cs="Times New Roman"/>
                <w:color w:val="000000" w:themeColor="text1"/>
                <w:sz w:val="18"/>
                <w:szCs w:val="18"/>
              </w:rPr>
            </w:pPr>
            <w:r>
              <w:rPr>
                <w:rFonts w:cs="Times New Roman"/>
                <w:color w:val="000000" w:themeColor="text1"/>
                <w:sz w:val="18"/>
                <w:szCs w:val="18"/>
              </w:rPr>
              <w:t>530 кг</w:t>
            </w:r>
          </w:p>
        </w:tc>
      </w:tr>
      <w:tr w:rsidR="001C7E21" w:rsidTr="0088152C">
        <w:tc>
          <w:tcPr>
            <w:tcW w:w="702" w:type="dxa"/>
            <w:vAlign w:val="center"/>
          </w:tcPr>
          <w:p w:rsidR="001C7E21" w:rsidRPr="00D3571B" w:rsidRDefault="001C7E21" w:rsidP="0088152C">
            <w:pPr>
              <w:jc w:val="center"/>
              <w:rPr>
                <w:rFonts w:cs="Times New Roman"/>
                <w:color w:val="000000" w:themeColor="text1"/>
                <w:sz w:val="18"/>
                <w:szCs w:val="18"/>
              </w:rPr>
            </w:pPr>
            <w:r w:rsidRPr="00D3571B">
              <w:rPr>
                <w:rFonts w:cs="Times New Roman"/>
                <w:color w:val="000000" w:themeColor="text1"/>
                <w:sz w:val="18"/>
                <w:szCs w:val="18"/>
              </w:rPr>
              <w:t>2</w:t>
            </w:r>
          </w:p>
        </w:tc>
        <w:tc>
          <w:tcPr>
            <w:tcW w:w="1000" w:type="dxa"/>
            <w:vAlign w:val="center"/>
          </w:tcPr>
          <w:p w:rsidR="001C7E21" w:rsidRPr="00D3571B" w:rsidRDefault="001C7E21" w:rsidP="0088152C">
            <w:pPr>
              <w:jc w:val="center"/>
              <w:rPr>
                <w:rFonts w:cs="Times New Roman"/>
                <w:color w:val="000000" w:themeColor="text1"/>
                <w:sz w:val="18"/>
                <w:szCs w:val="18"/>
              </w:rPr>
            </w:pPr>
            <w:r w:rsidRPr="00D3571B">
              <w:rPr>
                <w:rFonts w:cs="Times New Roman"/>
                <w:color w:val="000000" w:themeColor="text1"/>
                <w:sz w:val="18"/>
                <w:szCs w:val="18"/>
              </w:rPr>
              <w:t>10.11</w:t>
            </w:r>
            <w:r w:rsidR="0088152C">
              <w:rPr>
                <w:rFonts w:cs="Times New Roman"/>
                <w:color w:val="000000" w:themeColor="text1"/>
                <w:sz w:val="18"/>
                <w:szCs w:val="18"/>
              </w:rPr>
              <w:t>.3</w:t>
            </w:r>
          </w:p>
        </w:tc>
        <w:tc>
          <w:tcPr>
            <w:tcW w:w="1275" w:type="dxa"/>
            <w:vAlign w:val="center"/>
          </w:tcPr>
          <w:p w:rsidR="001C7E21" w:rsidRDefault="001C7E21" w:rsidP="0088152C">
            <w:pPr>
              <w:jc w:val="center"/>
              <w:rPr>
                <w:rFonts w:cs="Times New Roman"/>
                <w:color w:val="000000" w:themeColor="text1"/>
                <w:sz w:val="18"/>
                <w:szCs w:val="18"/>
                <w:shd w:val="clear" w:color="auto" w:fill="FFFFFF"/>
              </w:rPr>
            </w:pPr>
          </w:p>
          <w:p w:rsidR="001C7E21" w:rsidRPr="00D3571B" w:rsidRDefault="001C7E21" w:rsidP="0088152C">
            <w:pPr>
              <w:jc w:val="center"/>
              <w:rPr>
                <w:rFonts w:cs="Times New Roman"/>
                <w:color w:val="000000" w:themeColor="text1"/>
                <w:sz w:val="18"/>
                <w:szCs w:val="18"/>
              </w:rPr>
            </w:pPr>
            <w:r w:rsidRPr="00D3571B">
              <w:rPr>
                <w:rFonts w:cs="Times New Roman"/>
                <w:color w:val="000000" w:themeColor="text1"/>
                <w:sz w:val="18"/>
                <w:szCs w:val="18"/>
                <w:shd w:val="clear" w:color="auto" w:fill="FFFFFF"/>
              </w:rPr>
              <w:t>10.11.32.110</w:t>
            </w:r>
          </w:p>
          <w:p w:rsidR="001C7E21" w:rsidRPr="00D3571B" w:rsidRDefault="001C7E21" w:rsidP="0088152C">
            <w:pPr>
              <w:jc w:val="center"/>
              <w:rPr>
                <w:rFonts w:cs="Times New Roman"/>
                <w:color w:val="000000" w:themeColor="text1"/>
                <w:sz w:val="18"/>
                <w:szCs w:val="18"/>
              </w:rPr>
            </w:pPr>
          </w:p>
        </w:tc>
        <w:tc>
          <w:tcPr>
            <w:tcW w:w="1560" w:type="dxa"/>
            <w:vAlign w:val="center"/>
          </w:tcPr>
          <w:p w:rsidR="001C7E21" w:rsidRPr="00D3571B" w:rsidRDefault="001C7E21" w:rsidP="0088152C">
            <w:pPr>
              <w:rPr>
                <w:rFonts w:cs="Times New Roman"/>
                <w:color w:val="000000" w:themeColor="text1"/>
                <w:sz w:val="18"/>
                <w:szCs w:val="18"/>
              </w:rPr>
            </w:pPr>
            <w:r w:rsidRPr="00D3571B">
              <w:rPr>
                <w:rFonts w:cs="Times New Roman"/>
                <w:color w:val="000000" w:themeColor="text1"/>
                <w:sz w:val="18"/>
                <w:szCs w:val="18"/>
              </w:rPr>
              <w:t>Мясо свинина б/</w:t>
            </w:r>
            <w:proofErr w:type="gramStart"/>
            <w:r w:rsidRPr="00D3571B">
              <w:rPr>
                <w:rFonts w:cs="Times New Roman"/>
                <w:color w:val="000000" w:themeColor="text1"/>
                <w:sz w:val="18"/>
                <w:szCs w:val="18"/>
              </w:rPr>
              <w:t>к</w:t>
            </w:r>
            <w:proofErr w:type="gramEnd"/>
          </w:p>
        </w:tc>
        <w:tc>
          <w:tcPr>
            <w:tcW w:w="4536" w:type="dxa"/>
          </w:tcPr>
          <w:p w:rsidR="001C7E21" w:rsidRPr="00D3571B" w:rsidRDefault="001C7E21" w:rsidP="0088152C">
            <w:pPr>
              <w:rPr>
                <w:rFonts w:cs="Times New Roman"/>
                <w:color w:val="000000" w:themeColor="text1"/>
                <w:sz w:val="18"/>
                <w:szCs w:val="18"/>
              </w:rPr>
            </w:pPr>
            <w:proofErr w:type="gramStart"/>
            <w:r w:rsidRPr="00D3571B">
              <w:rPr>
                <w:rFonts w:eastAsia="Times New Roman" w:cs="Times New Roman"/>
                <w:color w:val="000000" w:themeColor="text1"/>
                <w:sz w:val="18"/>
                <w:szCs w:val="18"/>
                <w:lang w:eastAsia="ru-RU"/>
              </w:rPr>
              <w:t>Мясо свинины</w:t>
            </w:r>
            <w:proofErr w:type="gramEnd"/>
            <w:r w:rsidRPr="00D3571B">
              <w:rPr>
                <w:rFonts w:eastAsia="Times New Roman" w:cs="Times New Roman"/>
                <w:color w:val="000000" w:themeColor="text1"/>
                <w:sz w:val="18"/>
                <w:szCs w:val="18"/>
                <w:lang w:eastAsia="ru-RU"/>
              </w:rPr>
              <w:t xml:space="preserve"> замороженное, не ниже 1 сорта, бескостное,</w:t>
            </w:r>
            <w:r w:rsidRPr="00D3571B">
              <w:rPr>
                <w:rFonts w:cs="Times New Roman"/>
                <w:color w:val="000000" w:themeColor="text1"/>
                <w:sz w:val="18"/>
                <w:szCs w:val="18"/>
              </w:rPr>
              <w:t xml:space="preserve"> </w:t>
            </w:r>
            <w:r w:rsidRPr="00D3571B">
              <w:rPr>
                <w:rFonts w:eastAsia="Times New Roman" w:cs="Times New Roman"/>
                <w:color w:val="000000" w:themeColor="text1"/>
                <w:sz w:val="18"/>
                <w:szCs w:val="18"/>
                <w:lang w:eastAsia="ru-RU"/>
              </w:rPr>
              <w:t xml:space="preserve">бледно-розового или бледно-красного цвета. </w:t>
            </w:r>
            <w:r w:rsidRPr="00D3571B">
              <w:rPr>
                <w:rFonts w:cs="Times New Roman"/>
                <w:color w:val="000000" w:themeColor="text1"/>
                <w:sz w:val="18"/>
                <w:szCs w:val="18"/>
              </w:rPr>
              <w:t xml:space="preserve"> </w:t>
            </w:r>
            <w:r w:rsidRPr="00D3571B">
              <w:rPr>
                <w:rFonts w:eastAsia="Times New Roman" w:cs="Times New Roman"/>
                <w:color w:val="000000" w:themeColor="text1"/>
                <w:sz w:val="18"/>
                <w:szCs w:val="18"/>
                <w:lang w:eastAsia="ru-RU"/>
              </w:rPr>
              <w:t xml:space="preserve">Правильно </w:t>
            </w:r>
            <w:proofErr w:type="gramStart"/>
            <w:r w:rsidRPr="00D3571B">
              <w:rPr>
                <w:rFonts w:eastAsia="Times New Roman" w:cs="Times New Roman"/>
                <w:color w:val="000000" w:themeColor="text1"/>
                <w:sz w:val="18"/>
                <w:szCs w:val="18"/>
                <w:lang w:eastAsia="ru-RU"/>
              </w:rPr>
              <w:t>обработанное</w:t>
            </w:r>
            <w:proofErr w:type="gramEnd"/>
            <w:r w:rsidRPr="00D3571B">
              <w:rPr>
                <w:rFonts w:eastAsia="Times New Roman" w:cs="Times New Roman"/>
                <w:color w:val="000000" w:themeColor="text1"/>
                <w:sz w:val="18"/>
                <w:szCs w:val="18"/>
                <w:lang w:eastAsia="ru-RU"/>
              </w:rPr>
              <w:t xml:space="preserve">, </w:t>
            </w:r>
            <w:r w:rsidRPr="009920E9">
              <w:rPr>
                <w:rFonts w:eastAsia="Times New Roman" w:cs="Times New Roman"/>
                <w:color w:val="000000" w:themeColor="text1"/>
                <w:sz w:val="18"/>
                <w:szCs w:val="18"/>
                <w:lang w:eastAsia="ru-RU"/>
              </w:rPr>
              <w:t>свежее, без признаков порчи, дефектов. Без красителей и стабилизаторов. Соответствие нормативной документации ГОСТ</w:t>
            </w:r>
            <w:r w:rsidRPr="00D3571B">
              <w:rPr>
                <w:rFonts w:eastAsia="Times New Roman" w:cs="Times New Roman"/>
                <w:color w:val="000000" w:themeColor="text1"/>
                <w:sz w:val="18"/>
                <w:szCs w:val="18"/>
                <w:lang w:eastAsia="ru-RU"/>
              </w:rPr>
              <w:t xml:space="preserve"> 31778 – 2012 «</w:t>
            </w:r>
            <w:proofErr w:type="gramStart"/>
            <w:r w:rsidRPr="00D3571B">
              <w:rPr>
                <w:rFonts w:eastAsia="Times New Roman" w:cs="Times New Roman"/>
                <w:color w:val="000000" w:themeColor="text1"/>
                <w:sz w:val="18"/>
                <w:szCs w:val="18"/>
                <w:lang w:eastAsia="ru-RU"/>
              </w:rPr>
              <w:t>Мясо свинины</w:t>
            </w:r>
            <w:proofErr w:type="gramEnd"/>
            <w:r w:rsidRPr="00D3571B">
              <w:rPr>
                <w:rFonts w:eastAsia="Times New Roman" w:cs="Times New Roman"/>
                <w:color w:val="000000" w:themeColor="text1"/>
                <w:sz w:val="18"/>
                <w:szCs w:val="18"/>
                <w:lang w:eastAsia="ru-RU"/>
              </w:rPr>
              <w:t xml:space="preserve"> разделка на отруби. Технические условия», </w:t>
            </w:r>
            <w:r w:rsidRPr="00D3571B">
              <w:rPr>
                <w:rFonts w:cs="Times New Roman"/>
                <w:color w:val="000000" w:themeColor="text1"/>
                <w:sz w:val="18"/>
                <w:szCs w:val="18"/>
              </w:rPr>
              <w:t xml:space="preserve"> </w:t>
            </w:r>
            <w:r w:rsidRPr="00D3571B">
              <w:rPr>
                <w:rFonts w:eastAsia="Times New Roman" w:cs="Times New Roman"/>
                <w:color w:val="000000" w:themeColor="text1"/>
                <w:sz w:val="18"/>
                <w:szCs w:val="18"/>
                <w:lang w:eastAsia="ru-RU"/>
              </w:rPr>
              <w:t xml:space="preserve"> Сертификат соответствия, ветеринарное свидетельство формы № 2, ветеринарная справка № 4.  Обязательное наличие документов, подтверждающих качество продукции.</w:t>
            </w:r>
          </w:p>
        </w:tc>
        <w:tc>
          <w:tcPr>
            <w:tcW w:w="1984" w:type="dxa"/>
            <w:vAlign w:val="center"/>
          </w:tcPr>
          <w:p w:rsidR="001C7E21" w:rsidRPr="00D3571B" w:rsidRDefault="001C7E21" w:rsidP="0088152C">
            <w:pPr>
              <w:jc w:val="center"/>
              <w:rPr>
                <w:rFonts w:cs="Times New Roman"/>
                <w:color w:val="000000" w:themeColor="text1"/>
                <w:sz w:val="18"/>
                <w:szCs w:val="18"/>
              </w:rPr>
            </w:pPr>
            <w:r>
              <w:rPr>
                <w:rFonts w:cs="Times New Roman"/>
                <w:color w:val="000000" w:themeColor="text1"/>
                <w:sz w:val="18"/>
                <w:szCs w:val="18"/>
              </w:rPr>
              <w:t>200 кг</w:t>
            </w:r>
          </w:p>
        </w:tc>
      </w:tr>
      <w:tr w:rsidR="001C7E21" w:rsidTr="0088152C">
        <w:tc>
          <w:tcPr>
            <w:tcW w:w="702" w:type="dxa"/>
            <w:vAlign w:val="center"/>
          </w:tcPr>
          <w:p w:rsidR="001C7E21" w:rsidRPr="00D3571B" w:rsidRDefault="001C7E21" w:rsidP="0088152C">
            <w:pPr>
              <w:jc w:val="center"/>
              <w:rPr>
                <w:rFonts w:cs="Times New Roman"/>
                <w:color w:val="000000" w:themeColor="text1"/>
                <w:sz w:val="18"/>
                <w:szCs w:val="18"/>
              </w:rPr>
            </w:pPr>
            <w:r w:rsidRPr="00D3571B">
              <w:rPr>
                <w:rFonts w:cs="Times New Roman"/>
                <w:color w:val="000000" w:themeColor="text1"/>
                <w:sz w:val="18"/>
                <w:szCs w:val="18"/>
              </w:rPr>
              <w:t>3</w:t>
            </w:r>
          </w:p>
        </w:tc>
        <w:tc>
          <w:tcPr>
            <w:tcW w:w="1000" w:type="dxa"/>
            <w:vAlign w:val="center"/>
          </w:tcPr>
          <w:p w:rsidR="001C7E21" w:rsidRPr="00D3571B" w:rsidRDefault="001C7E21" w:rsidP="0088152C">
            <w:pPr>
              <w:jc w:val="center"/>
              <w:rPr>
                <w:rFonts w:cs="Times New Roman"/>
                <w:color w:val="000000" w:themeColor="text1"/>
                <w:sz w:val="18"/>
                <w:szCs w:val="18"/>
              </w:rPr>
            </w:pPr>
            <w:r w:rsidRPr="00D3571B">
              <w:rPr>
                <w:rFonts w:cs="Times New Roman"/>
                <w:color w:val="000000" w:themeColor="text1"/>
                <w:sz w:val="18"/>
                <w:szCs w:val="18"/>
              </w:rPr>
              <w:t>10.11</w:t>
            </w:r>
            <w:r w:rsidR="00422F1D">
              <w:rPr>
                <w:rFonts w:cs="Times New Roman"/>
                <w:color w:val="000000" w:themeColor="text1"/>
                <w:sz w:val="18"/>
                <w:szCs w:val="18"/>
              </w:rPr>
              <w:t>.3</w:t>
            </w:r>
          </w:p>
        </w:tc>
        <w:tc>
          <w:tcPr>
            <w:tcW w:w="1275" w:type="dxa"/>
            <w:vAlign w:val="center"/>
          </w:tcPr>
          <w:p w:rsidR="001C7E21" w:rsidRPr="009325BC" w:rsidRDefault="001C7E21" w:rsidP="0088152C">
            <w:pPr>
              <w:spacing w:after="300"/>
              <w:jc w:val="center"/>
              <w:rPr>
                <w:rFonts w:cs="Times New Roman"/>
                <w:color w:val="333333"/>
              </w:rPr>
            </w:pPr>
            <w:r>
              <w:rPr>
                <w:rFonts w:ascii="system-ui" w:hAnsi="system-ui"/>
                <w:color w:val="333333"/>
              </w:rPr>
              <w:br/>
            </w:r>
            <w:r w:rsidRPr="009325BC">
              <w:rPr>
                <w:rFonts w:cs="Times New Roman"/>
                <w:color w:val="333333"/>
                <w:sz w:val="20"/>
              </w:rPr>
              <w:t>10.11.31.140</w:t>
            </w:r>
          </w:p>
          <w:p w:rsidR="001C7E21" w:rsidRPr="00D3571B" w:rsidRDefault="001C7E21" w:rsidP="0088152C">
            <w:pPr>
              <w:jc w:val="center"/>
              <w:rPr>
                <w:rFonts w:cs="Times New Roman"/>
                <w:color w:val="000000" w:themeColor="text1"/>
                <w:sz w:val="18"/>
                <w:szCs w:val="18"/>
              </w:rPr>
            </w:pPr>
          </w:p>
        </w:tc>
        <w:tc>
          <w:tcPr>
            <w:tcW w:w="1560" w:type="dxa"/>
            <w:vAlign w:val="center"/>
          </w:tcPr>
          <w:p w:rsidR="001C7E21" w:rsidRPr="00D3571B" w:rsidRDefault="001C7E21" w:rsidP="0088152C">
            <w:pPr>
              <w:rPr>
                <w:rFonts w:cs="Times New Roman"/>
                <w:color w:val="000000" w:themeColor="text1"/>
                <w:sz w:val="18"/>
                <w:szCs w:val="18"/>
              </w:rPr>
            </w:pPr>
            <w:r w:rsidRPr="00D3571B">
              <w:rPr>
                <w:rFonts w:cs="Times New Roman"/>
                <w:color w:val="000000" w:themeColor="text1"/>
                <w:sz w:val="18"/>
                <w:szCs w:val="18"/>
              </w:rPr>
              <w:t>Пече</w:t>
            </w:r>
            <w:bookmarkStart w:id="0" w:name="_GoBack"/>
            <w:bookmarkEnd w:id="0"/>
            <w:r w:rsidRPr="00D3571B">
              <w:rPr>
                <w:rFonts w:cs="Times New Roman"/>
                <w:color w:val="000000" w:themeColor="text1"/>
                <w:sz w:val="18"/>
                <w:szCs w:val="18"/>
              </w:rPr>
              <w:t>нь говяжья</w:t>
            </w:r>
          </w:p>
        </w:tc>
        <w:tc>
          <w:tcPr>
            <w:tcW w:w="4536" w:type="dxa"/>
          </w:tcPr>
          <w:p w:rsidR="001C7E21" w:rsidRPr="00D3571B" w:rsidRDefault="001C7E21" w:rsidP="0088152C">
            <w:pPr>
              <w:rPr>
                <w:rFonts w:cs="Times New Roman"/>
                <w:color w:val="000000" w:themeColor="text1"/>
                <w:sz w:val="18"/>
                <w:szCs w:val="18"/>
              </w:rPr>
            </w:pPr>
            <w:r w:rsidRPr="00D3571B">
              <w:rPr>
                <w:rFonts w:eastAsia="Times New Roman" w:cs="Times New Roman"/>
                <w:color w:val="000000" w:themeColor="text1"/>
                <w:sz w:val="18"/>
                <w:szCs w:val="18"/>
                <w:lang w:eastAsia="ru-RU"/>
              </w:rPr>
              <w:t xml:space="preserve">Печень говяжья не ниже 1-ой категории замороженная, без потемнений наружного слоя.  </w:t>
            </w:r>
            <w:proofErr w:type="gramStart"/>
            <w:r w:rsidRPr="00D3571B">
              <w:rPr>
                <w:rFonts w:eastAsia="Times New Roman" w:cs="Times New Roman"/>
                <w:color w:val="000000" w:themeColor="text1"/>
                <w:sz w:val="18"/>
                <w:szCs w:val="18"/>
                <w:lang w:eastAsia="ru-RU"/>
              </w:rPr>
              <w:t>Заморожена</w:t>
            </w:r>
            <w:proofErr w:type="gramEnd"/>
            <w:r w:rsidRPr="00D3571B">
              <w:rPr>
                <w:rFonts w:eastAsia="Times New Roman" w:cs="Times New Roman"/>
                <w:color w:val="000000" w:themeColor="text1"/>
                <w:sz w:val="18"/>
                <w:szCs w:val="18"/>
                <w:lang w:eastAsia="ru-RU"/>
              </w:rPr>
              <w:t xml:space="preserve"> целиком, поштучно или блоками. Печень говяжья чистая, освобождена от наружных кровеносных сосудов, лимфоузлов, жира, желчного пузыря и протоков. Цвет от </w:t>
            </w:r>
            <w:proofErr w:type="gramStart"/>
            <w:r w:rsidRPr="00D3571B">
              <w:rPr>
                <w:rFonts w:eastAsia="Times New Roman" w:cs="Times New Roman"/>
                <w:color w:val="000000" w:themeColor="text1"/>
                <w:sz w:val="18"/>
                <w:szCs w:val="18"/>
                <w:lang w:eastAsia="ru-RU"/>
              </w:rPr>
              <w:t>светло-красного</w:t>
            </w:r>
            <w:proofErr w:type="gramEnd"/>
            <w:r w:rsidRPr="00D3571B">
              <w:rPr>
                <w:rFonts w:eastAsia="Times New Roman" w:cs="Times New Roman"/>
                <w:color w:val="000000" w:themeColor="text1"/>
                <w:sz w:val="18"/>
                <w:szCs w:val="18"/>
                <w:lang w:eastAsia="ru-RU"/>
              </w:rPr>
              <w:t xml:space="preserve"> до темно-коричневого без болезненных изменений и посторонних запахов. Не допускается печень с изменениями естественного цвета, с порезами и разрывами. Продукт соответствует ГОСТ 19342-73 «Печень крупного рогатого скота и свиней замороженная. Технические условия». Обязательное наличие документов, подтверждающих качество продукции.</w:t>
            </w:r>
          </w:p>
        </w:tc>
        <w:tc>
          <w:tcPr>
            <w:tcW w:w="1984" w:type="dxa"/>
            <w:vAlign w:val="center"/>
          </w:tcPr>
          <w:p w:rsidR="001C7E21" w:rsidRPr="00D3571B" w:rsidRDefault="001C7E21" w:rsidP="0088152C">
            <w:pPr>
              <w:jc w:val="center"/>
              <w:rPr>
                <w:rFonts w:cs="Times New Roman"/>
                <w:color w:val="000000" w:themeColor="text1"/>
                <w:sz w:val="18"/>
                <w:szCs w:val="18"/>
              </w:rPr>
            </w:pPr>
            <w:r>
              <w:rPr>
                <w:rFonts w:cs="Times New Roman"/>
                <w:color w:val="000000" w:themeColor="text1"/>
                <w:sz w:val="18"/>
                <w:szCs w:val="18"/>
              </w:rPr>
              <w:t>200 кг</w:t>
            </w:r>
          </w:p>
        </w:tc>
      </w:tr>
    </w:tbl>
    <w:p w:rsidR="009176C1" w:rsidRDefault="009176C1">
      <w:pPr>
        <w:pStyle w:val="ConsPlusNormal"/>
        <w:jc w:val="both"/>
      </w:pPr>
    </w:p>
    <w:p w:rsidR="009176C1" w:rsidRDefault="009176C1">
      <w:pPr>
        <w:ind w:left="-1134"/>
        <w:rPr>
          <w:rFonts w:eastAsia="Times New Roman" w:cs="Times New Roman"/>
          <w:b/>
          <w:bCs/>
          <w:sz w:val="20"/>
          <w:szCs w:val="20"/>
          <w:lang w:eastAsia="ru-RU"/>
        </w:rPr>
      </w:pPr>
    </w:p>
    <w:p w:rsidR="009176C1" w:rsidRDefault="0078649E">
      <w:pPr>
        <w:ind w:left="-1134" w:right="-426"/>
        <w:rPr>
          <w:rFonts w:eastAsia="Times New Roman" w:cs="Times New Roman"/>
          <w:b/>
          <w:bCs/>
          <w:sz w:val="20"/>
          <w:szCs w:val="20"/>
          <w:lang w:eastAsia="ru-RU"/>
        </w:rPr>
      </w:pPr>
      <w:r>
        <w:rPr>
          <w:rFonts w:eastAsia="Times New Roman" w:cs="Times New Roman"/>
          <w:b/>
          <w:bCs/>
          <w:sz w:val="20"/>
          <w:szCs w:val="20"/>
          <w:lang w:eastAsia="ru-RU"/>
        </w:rPr>
        <w:t>2. Требования к качеству поставляемого товара:</w:t>
      </w:r>
    </w:p>
    <w:p w:rsidR="009176C1" w:rsidRDefault="0078649E">
      <w:pPr>
        <w:tabs>
          <w:tab w:val="left" w:pos="709"/>
        </w:tabs>
        <w:ind w:left="-1134" w:right="-426" w:firstLine="708"/>
        <w:jc w:val="both"/>
        <w:rPr>
          <w:rFonts w:eastAsia="Times New Roman" w:cs="Times New Roman"/>
          <w:sz w:val="20"/>
          <w:szCs w:val="20"/>
          <w:lang w:eastAsia="ar-SA"/>
        </w:rPr>
      </w:pPr>
      <w:r>
        <w:rPr>
          <w:rFonts w:eastAsia="Times New Roman" w:cs="Times New Roman"/>
          <w:sz w:val="20"/>
          <w:szCs w:val="20"/>
          <w:lang w:eastAsia="ar-SA"/>
        </w:rPr>
        <w:t xml:space="preserve">Качество пищевых продуктов, материалы и изделия, обеспечение их безопасности, пищевая ценность пищевых продуктов должны соответствовать: </w:t>
      </w:r>
    </w:p>
    <w:p w:rsidR="009176C1" w:rsidRDefault="0078649E">
      <w:pPr>
        <w:tabs>
          <w:tab w:val="left" w:pos="709"/>
        </w:tabs>
        <w:ind w:left="-1134" w:right="-426" w:firstLine="709"/>
        <w:jc w:val="both"/>
        <w:rPr>
          <w:rFonts w:eastAsia="Times New Roman" w:cs="Times New Roman"/>
          <w:sz w:val="20"/>
          <w:szCs w:val="20"/>
          <w:lang w:eastAsia="ar-SA"/>
        </w:rPr>
      </w:pPr>
      <w:r>
        <w:rPr>
          <w:rFonts w:eastAsia="Times New Roman" w:cs="Times New Roman"/>
          <w:sz w:val="20"/>
          <w:szCs w:val="20"/>
          <w:lang w:eastAsia="ar-SA"/>
        </w:rPr>
        <w:t>- Федеральному закону от 02.01.2000 № 29-ФЗ «О качестве и безопасности пищевых продуктов»;</w:t>
      </w:r>
    </w:p>
    <w:p w:rsidR="009176C1" w:rsidRPr="00D7784F" w:rsidRDefault="0078649E">
      <w:pPr>
        <w:tabs>
          <w:tab w:val="left" w:pos="709"/>
        </w:tabs>
        <w:ind w:left="-1134" w:right="-426" w:firstLine="709"/>
        <w:jc w:val="both"/>
        <w:rPr>
          <w:rFonts w:eastAsia="Times New Roman" w:cs="Times New Roman"/>
          <w:sz w:val="20"/>
          <w:szCs w:val="20"/>
        </w:rPr>
      </w:pPr>
      <w:r w:rsidRPr="00D7784F">
        <w:rPr>
          <w:rFonts w:eastAsia="Times New Roman" w:cs="Times New Roman"/>
          <w:sz w:val="20"/>
          <w:szCs w:val="20"/>
          <w:lang w:eastAsia="ar-SA"/>
        </w:rPr>
        <w:t xml:space="preserve">- </w:t>
      </w:r>
      <w:r w:rsidRPr="00D7784F">
        <w:rPr>
          <w:rFonts w:eastAsia="Times New Roman" w:cs="Times New Roman"/>
          <w:sz w:val="20"/>
          <w:szCs w:val="20"/>
        </w:rPr>
        <w:t>Федеральному закону от 30.03.1999 N 52-ФЗ «О санитарно-эпидемиологическом благополучии населения»;</w:t>
      </w:r>
    </w:p>
    <w:p w:rsidR="009176C1" w:rsidRPr="00D7784F" w:rsidRDefault="0078649E">
      <w:pPr>
        <w:tabs>
          <w:tab w:val="left" w:pos="709"/>
        </w:tabs>
        <w:ind w:left="-1134" w:right="-426" w:firstLine="709"/>
        <w:jc w:val="both"/>
        <w:rPr>
          <w:rFonts w:eastAsia="Times New Roman" w:cs="Times New Roman"/>
          <w:sz w:val="20"/>
          <w:szCs w:val="20"/>
        </w:rPr>
      </w:pPr>
      <w:r w:rsidRPr="00D7784F">
        <w:rPr>
          <w:rFonts w:eastAsia="Times New Roman" w:cs="Times New Roman"/>
          <w:sz w:val="20"/>
          <w:szCs w:val="20"/>
        </w:rPr>
        <w:t>- Техническому регламенту Таможенного союза "О безопасности пищевой продукции" от 09.12.2011 № 021/2011;</w:t>
      </w:r>
    </w:p>
    <w:p w:rsidR="009176C1" w:rsidRPr="00D7784F" w:rsidRDefault="00D6356C">
      <w:pPr>
        <w:tabs>
          <w:tab w:val="left" w:pos="709"/>
        </w:tabs>
        <w:ind w:left="-1134" w:right="-426" w:firstLine="709"/>
        <w:jc w:val="both"/>
        <w:rPr>
          <w:rFonts w:eastAsia="Times New Roman" w:cs="Times New Roman"/>
          <w:sz w:val="20"/>
          <w:szCs w:val="20"/>
        </w:rPr>
      </w:pPr>
      <w:r>
        <w:rPr>
          <w:rFonts w:eastAsia="Times New Roman" w:cs="Times New Roman"/>
          <w:sz w:val="20"/>
          <w:szCs w:val="20"/>
        </w:rPr>
        <w:t xml:space="preserve">- </w:t>
      </w:r>
      <w:r w:rsidR="0078649E" w:rsidRPr="00D7784F">
        <w:rPr>
          <w:rFonts w:eastAsia="Times New Roman" w:cs="Times New Roman"/>
          <w:sz w:val="20"/>
          <w:szCs w:val="20"/>
        </w:rPr>
        <w:t xml:space="preserve">Техническому регламенту Таможенного союза "Пищевая продукция в части ее маркировки" от 09.12.2011 № 022/2011.  </w:t>
      </w:r>
    </w:p>
    <w:p w:rsidR="009176C1" w:rsidRPr="00D7784F" w:rsidRDefault="0078649E">
      <w:pPr>
        <w:tabs>
          <w:tab w:val="left" w:pos="709"/>
        </w:tabs>
        <w:ind w:left="-1134" w:right="-426" w:firstLine="709"/>
        <w:jc w:val="both"/>
        <w:rPr>
          <w:rFonts w:eastAsia="Times New Roman" w:cs="Times New Roman"/>
          <w:sz w:val="20"/>
          <w:szCs w:val="20"/>
        </w:rPr>
      </w:pPr>
      <w:r w:rsidRPr="00D7784F">
        <w:rPr>
          <w:rFonts w:eastAsia="Times New Roman" w:cs="Times New Roman"/>
          <w:sz w:val="20"/>
          <w:szCs w:val="20"/>
        </w:rPr>
        <w:t xml:space="preserve">- </w:t>
      </w:r>
      <w:r w:rsidRPr="00D7784F">
        <w:rPr>
          <w:sz w:val="20"/>
          <w:szCs w:val="20"/>
          <w:lang w:eastAsia="ar-SA"/>
        </w:rPr>
        <w:t xml:space="preserve">Приказа Роспотребнадзора от 19.07.2007г. № 224 «О санитарно-эпидемиологических экспертизах, обследованиях, исследованиях, испытаниях и токсикологических, гигиенических и иных видах оценок» (вместе с «Порядком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 </w:t>
      </w:r>
    </w:p>
    <w:p w:rsidR="009176C1" w:rsidRDefault="0078649E">
      <w:pPr>
        <w:tabs>
          <w:tab w:val="left" w:pos="709"/>
        </w:tabs>
        <w:ind w:left="-1134" w:right="-426" w:firstLine="709"/>
        <w:jc w:val="both"/>
        <w:rPr>
          <w:rFonts w:eastAsia="Times New Roman" w:cs="Times New Roman"/>
          <w:sz w:val="20"/>
          <w:szCs w:val="20"/>
        </w:rPr>
      </w:pPr>
      <w:r w:rsidRPr="00D7784F">
        <w:rPr>
          <w:rFonts w:eastAsia="Arial Unicode MS" w:cs="Times New Roman"/>
          <w:bCs/>
          <w:color w:val="000000"/>
          <w:sz w:val="20"/>
          <w:szCs w:val="20"/>
        </w:rPr>
        <w:t xml:space="preserve">Тара и материалы, используемые для упаковывания и укупоривания продукта, должны соответствовать требованиям Технического регламента Таможенного союза от 16.08.2011 ТР ТС № 005/2011"О безопасности упаковки", в соответствии с которым они изготовлены, и обеспечивать сохранность качества и безопасности продуктов при их перевозках, хранении и реализации. </w:t>
      </w:r>
      <w:r w:rsidRPr="00D7784F">
        <w:rPr>
          <w:rFonts w:eastAsia="Times New Roman" w:cs="Times New Roman"/>
          <w:sz w:val="20"/>
          <w:szCs w:val="20"/>
          <w:lang w:eastAsia="ru-RU"/>
        </w:rPr>
        <w:t>Поставщик несет ответственность за соблюдение условий хранения товара до момента поставки.</w:t>
      </w:r>
    </w:p>
    <w:p w:rsidR="009176C1" w:rsidRDefault="009176C1">
      <w:pPr>
        <w:tabs>
          <w:tab w:val="left" w:pos="709"/>
        </w:tabs>
        <w:ind w:right="-426"/>
        <w:jc w:val="both"/>
        <w:rPr>
          <w:rFonts w:eastAsia="Times New Roman" w:cs="Times New Roman"/>
          <w:sz w:val="20"/>
          <w:szCs w:val="20"/>
          <w:lang w:eastAsia="ar-SA"/>
        </w:rPr>
      </w:pPr>
    </w:p>
    <w:p w:rsidR="009176C1" w:rsidRDefault="0078649E" w:rsidP="00652053">
      <w:pPr>
        <w:ind w:left="-1134"/>
        <w:jc w:val="both"/>
        <w:rPr>
          <w:rFonts w:eastAsia="Times New Roman" w:cs="Times New Roman"/>
          <w:b/>
          <w:bCs/>
          <w:sz w:val="20"/>
          <w:szCs w:val="20"/>
          <w:lang w:eastAsia="ru-RU"/>
        </w:rPr>
      </w:pPr>
      <w:r>
        <w:rPr>
          <w:rFonts w:eastAsia="Times New Roman" w:cs="Times New Roman"/>
          <w:b/>
          <w:bCs/>
          <w:sz w:val="20"/>
          <w:szCs w:val="20"/>
          <w:lang w:eastAsia="ru-RU"/>
        </w:rPr>
        <w:t>3. Место, сроки и условия поставки товара:</w:t>
      </w:r>
    </w:p>
    <w:p w:rsidR="00652053" w:rsidRPr="00652053" w:rsidRDefault="0078649E" w:rsidP="00652053">
      <w:pPr>
        <w:ind w:left="-1134" w:right="-426" w:firstLine="540"/>
        <w:jc w:val="both"/>
        <w:rPr>
          <w:rFonts w:eastAsia="Times New Roman" w:cs="Times New Roman"/>
          <w:sz w:val="20"/>
          <w:szCs w:val="20"/>
          <w:lang w:eastAsia="ru-RU"/>
        </w:rPr>
      </w:pPr>
      <w:r>
        <w:rPr>
          <w:rFonts w:eastAsia="Times New Roman" w:cs="Times New Roman"/>
          <w:sz w:val="20"/>
          <w:szCs w:val="20"/>
          <w:lang w:eastAsia="ru-RU"/>
        </w:rPr>
        <w:t xml:space="preserve">Поставка Товара осуществляется </w:t>
      </w:r>
      <w:r w:rsidRPr="007111F6">
        <w:rPr>
          <w:rFonts w:eastAsia="Times New Roman" w:cs="Times New Roman"/>
          <w:b/>
          <w:sz w:val="20"/>
          <w:szCs w:val="20"/>
          <w:lang w:eastAsia="ru-RU"/>
        </w:rPr>
        <w:t xml:space="preserve">с «01» </w:t>
      </w:r>
      <w:r w:rsidR="007111F6" w:rsidRPr="007111F6">
        <w:rPr>
          <w:rFonts w:eastAsia="Times New Roman" w:cs="Times New Roman"/>
          <w:b/>
          <w:sz w:val="20"/>
          <w:szCs w:val="20"/>
          <w:lang w:eastAsia="ru-RU"/>
        </w:rPr>
        <w:t>января</w:t>
      </w:r>
      <w:r w:rsidRPr="007111F6">
        <w:rPr>
          <w:rFonts w:eastAsia="Times New Roman" w:cs="Times New Roman"/>
          <w:b/>
          <w:sz w:val="20"/>
          <w:szCs w:val="20"/>
          <w:lang w:eastAsia="ru-RU"/>
        </w:rPr>
        <w:t xml:space="preserve"> 202</w:t>
      </w:r>
      <w:r w:rsidR="007111F6" w:rsidRPr="007111F6">
        <w:rPr>
          <w:rFonts w:eastAsia="Times New Roman" w:cs="Times New Roman"/>
          <w:b/>
          <w:sz w:val="20"/>
          <w:szCs w:val="20"/>
          <w:lang w:eastAsia="ru-RU"/>
        </w:rPr>
        <w:t>5</w:t>
      </w:r>
      <w:r w:rsidRPr="007111F6">
        <w:rPr>
          <w:rFonts w:eastAsia="Times New Roman" w:cs="Times New Roman"/>
          <w:b/>
          <w:sz w:val="20"/>
          <w:szCs w:val="20"/>
          <w:lang w:eastAsia="ru-RU"/>
        </w:rPr>
        <w:t xml:space="preserve"> года по «31» </w:t>
      </w:r>
      <w:r w:rsidR="007111F6" w:rsidRPr="007111F6">
        <w:rPr>
          <w:rFonts w:eastAsia="Times New Roman" w:cs="Times New Roman"/>
          <w:b/>
          <w:sz w:val="20"/>
          <w:szCs w:val="20"/>
          <w:lang w:eastAsia="ru-RU"/>
        </w:rPr>
        <w:t>марта</w:t>
      </w:r>
      <w:r w:rsidRPr="007111F6">
        <w:rPr>
          <w:rFonts w:eastAsia="Times New Roman" w:cs="Times New Roman"/>
          <w:b/>
          <w:sz w:val="20"/>
          <w:szCs w:val="20"/>
          <w:lang w:eastAsia="ru-RU"/>
        </w:rPr>
        <w:t xml:space="preserve"> 202</w:t>
      </w:r>
      <w:r w:rsidR="007111F6" w:rsidRPr="007111F6">
        <w:rPr>
          <w:rFonts w:eastAsia="Times New Roman" w:cs="Times New Roman"/>
          <w:b/>
          <w:sz w:val="20"/>
          <w:szCs w:val="20"/>
          <w:lang w:eastAsia="ru-RU"/>
        </w:rPr>
        <w:t>5</w:t>
      </w:r>
      <w:r w:rsidRPr="007111F6">
        <w:rPr>
          <w:rFonts w:eastAsia="Times New Roman" w:cs="Times New Roman"/>
          <w:b/>
          <w:sz w:val="20"/>
          <w:szCs w:val="20"/>
          <w:lang w:eastAsia="ru-RU"/>
        </w:rPr>
        <w:t xml:space="preserve"> года</w:t>
      </w:r>
      <w:r>
        <w:rPr>
          <w:rFonts w:eastAsia="Times New Roman" w:cs="Times New Roman"/>
          <w:sz w:val="20"/>
          <w:szCs w:val="20"/>
          <w:lang w:eastAsia="ru-RU"/>
        </w:rPr>
        <w:t xml:space="preserve"> Поставщиком на склад Заказчика </w:t>
      </w:r>
      <w:r>
        <w:rPr>
          <w:rFonts w:eastAsia="Times New Roman" w:cs="Times New Roman"/>
          <w:sz w:val="20"/>
          <w:szCs w:val="20"/>
          <w:lang w:eastAsia="ru-RU"/>
        </w:rPr>
        <w:lastRenderedPageBreak/>
        <w:t>по адресу:</w:t>
      </w:r>
      <w:r w:rsidR="007111F6">
        <w:rPr>
          <w:rFonts w:eastAsia="Times New Roman" w:cs="Times New Roman"/>
          <w:sz w:val="20"/>
          <w:szCs w:val="20"/>
          <w:lang w:eastAsia="ru-RU"/>
        </w:rPr>
        <w:t xml:space="preserve"> </w:t>
      </w:r>
      <w:r w:rsidR="00652053" w:rsidRPr="00652053">
        <w:rPr>
          <w:rFonts w:eastAsia="Times New Roman" w:cs="Times New Roman"/>
          <w:sz w:val="20"/>
          <w:szCs w:val="20"/>
          <w:lang w:eastAsia="ru-RU"/>
        </w:rPr>
        <w:t>628251, ХМАО-Югра, Тюменская область, Советский район, п. Малиновский, ул. Центральная д.23 «В», пищеблок.</w:t>
      </w:r>
    </w:p>
    <w:p w:rsidR="007111F6" w:rsidRPr="007111F6" w:rsidRDefault="00652053" w:rsidP="00652053">
      <w:pPr>
        <w:ind w:left="-1134" w:right="-426" w:firstLine="540"/>
        <w:jc w:val="both"/>
        <w:rPr>
          <w:rFonts w:eastAsia="Times New Roman" w:cs="Times New Roman"/>
          <w:sz w:val="20"/>
          <w:szCs w:val="20"/>
          <w:lang w:eastAsia="ru-RU"/>
        </w:rPr>
      </w:pPr>
      <w:r w:rsidRPr="00652053">
        <w:rPr>
          <w:rFonts w:eastAsia="Times New Roman" w:cs="Times New Roman"/>
          <w:sz w:val="20"/>
          <w:szCs w:val="20"/>
          <w:lang w:eastAsia="ru-RU"/>
        </w:rPr>
        <w:t>628259, ХМАО-Югра, Тюменская область, Советский район, п. Таежный  ул. Коммунистическая  д.5 «б», пищеблок</w:t>
      </w:r>
      <w:r w:rsidR="007111F6" w:rsidRPr="007111F6">
        <w:rPr>
          <w:rFonts w:eastAsia="Times New Roman" w:cs="Times New Roman"/>
          <w:sz w:val="20"/>
          <w:szCs w:val="20"/>
          <w:lang w:eastAsia="ru-RU"/>
        </w:rPr>
        <w:t>.</w:t>
      </w:r>
    </w:p>
    <w:p w:rsidR="009176C1" w:rsidRDefault="0078649E" w:rsidP="00652053">
      <w:pPr>
        <w:ind w:left="-1134" w:right="-426" w:firstLine="567"/>
        <w:jc w:val="both"/>
        <w:rPr>
          <w:rFonts w:eastAsia="Times New Roman" w:cs="Times New Roman"/>
          <w:b/>
          <w:bCs/>
          <w:sz w:val="20"/>
          <w:szCs w:val="20"/>
          <w:lang w:eastAsia="ar-SA"/>
        </w:rPr>
      </w:pPr>
      <w:r>
        <w:rPr>
          <w:rFonts w:eastAsia="Times New Roman" w:cs="Times New Roman"/>
          <w:sz w:val="20"/>
          <w:szCs w:val="20"/>
          <w:lang w:eastAsia="ru-RU"/>
        </w:rPr>
        <w:t xml:space="preserve">Поставщик обязан обеспечить погрузку, укладку, перевозку, разгрузку в помещении склада Заказчика своими силами и за свой счет. </w:t>
      </w:r>
    </w:p>
    <w:p w:rsidR="009176C1" w:rsidRDefault="0078649E">
      <w:pPr>
        <w:tabs>
          <w:tab w:val="left" w:pos="1134"/>
          <w:tab w:val="left" w:pos="9354"/>
        </w:tabs>
        <w:ind w:left="-1134" w:right="-426"/>
        <w:jc w:val="both"/>
        <w:rPr>
          <w:rFonts w:eastAsia="Times New Roman" w:cs="Times New Roman"/>
          <w:b/>
          <w:bCs/>
          <w:sz w:val="20"/>
          <w:szCs w:val="20"/>
          <w:lang w:eastAsia="ru-RU"/>
        </w:rPr>
      </w:pPr>
      <w:r>
        <w:rPr>
          <w:rFonts w:eastAsia="Times New Roman" w:cs="Times New Roman"/>
          <w:b/>
          <w:bCs/>
          <w:sz w:val="20"/>
          <w:szCs w:val="20"/>
          <w:lang w:eastAsia="ar-SA"/>
        </w:rPr>
        <w:t>4. </w:t>
      </w:r>
      <w:r>
        <w:rPr>
          <w:rFonts w:eastAsia="Times New Roman" w:cs="Times New Roman"/>
          <w:b/>
          <w:bCs/>
          <w:sz w:val="20"/>
          <w:szCs w:val="20"/>
          <w:lang w:eastAsia="ru-RU"/>
        </w:rPr>
        <w:t xml:space="preserve">Срок и объем предоставления гарантий качества товара: </w:t>
      </w:r>
    </w:p>
    <w:p w:rsidR="009176C1" w:rsidRDefault="0078649E">
      <w:pPr>
        <w:ind w:left="-1134" w:right="-426" w:firstLine="567"/>
        <w:jc w:val="both"/>
        <w:rPr>
          <w:rFonts w:eastAsia="Times New Roman" w:cs="Times New Roman"/>
          <w:sz w:val="20"/>
          <w:szCs w:val="20"/>
          <w:lang w:eastAsia="ru-RU"/>
        </w:rPr>
      </w:pPr>
      <w:r>
        <w:rPr>
          <w:rFonts w:eastAsia="Times New Roman" w:cs="Times New Roman"/>
          <w:sz w:val="20"/>
          <w:szCs w:val="20"/>
          <w:lang w:eastAsia="ru-RU"/>
        </w:rPr>
        <w:t>Остаточный срок годности Товара, на момент его поставки, должен составлять не менее 70 %.</w:t>
      </w:r>
    </w:p>
    <w:p w:rsidR="009176C1" w:rsidRDefault="0078649E">
      <w:pPr>
        <w:ind w:left="-1134" w:right="-426" w:firstLine="567"/>
        <w:jc w:val="both"/>
        <w:rPr>
          <w:rFonts w:eastAsia="Times New Roman" w:cs="Times New Roman"/>
          <w:sz w:val="20"/>
          <w:szCs w:val="20"/>
          <w:lang w:eastAsia="ru-RU"/>
        </w:rPr>
      </w:pPr>
      <w:r>
        <w:rPr>
          <w:rFonts w:eastAsia="Times New Roman" w:cs="Times New Roman"/>
          <w:sz w:val="20"/>
          <w:szCs w:val="20"/>
          <w:lang w:eastAsia="ru-RU"/>
        </w:rPr>
        <w:t xml:space="preserve">В случае поставки товара, качество которого не соответствует условиям договора, Поставщик обязуется произвести его замену на Товар надлежащего качества в </w:t>
      </w:r>
      <w:r w:rsidRPr="00D7784F">
        <w:rPr>
          <w:rFonts w:eastAsia="Times New Roman" w:cs="Times New Roman"/>
          <w:sz w:val="20"/>
          <w:szCs w:val="20"/>
          <w:lang w:eastAsia="ru-RU"/>
        </w:rPr>
        <w:t>течение 1 рабочего дня</w:t>
      </w:r>
      <w:r>
        <w:rPr>
          <w:rFonts w:eastAsia="Times New Roman" w:cs="Times New Roman"/>
          <w:sz w:val="20"/>
          <w:szCs w:val="20"/>
          <w:lang w:eastAsia="ru-RU"/>
        </w:rPr>
        <w:t xml:space="preserve">   с момента получения от Заказчика претензии. Убытки, возникшие в связи с заменой Товара, несет Поставщик.</w:t>
      </w:r>
    </w:p>
    <w:p w:rsidR="009176C1" w:rsidRDefault="009176C1">
      <w:pPr>
        <w:ind w:left="-1134" w:right="-426"/>
        <w:rPr>
          <w:rFonts w:eastAsia="MS Mincho" w:cs="Times New Roman"/>
          <w:b/>
          <w:sz w:val="20"/>
          <w:szCs w:val="20"/>
        </w:rPr>
      </w:pPr>
    </w:p>
    <w:p w:rsidR="009176C1" w:rsidRDefault="009176C1">
      <w:pPr>
        <w:ind w:left="-1134"/>
        <w:rPr>
          <w:rFonts w:eastAsia="MS Mincho" w:cs="Times New Roman"/>
          <w:b/>
          <w:sz w:val="20"/>
          <w:szCs w:val="20"/>
        </w:rPr>
      </w:pPr>
    </w:p>
    <w:p w:rsidR="009176C1" w:rsidRDefault="009176C1">
      <w:pPr>
        <w:ind w:right="-426"/>
      </w:pPr>
    </w:p>
    <w:sectPr w:rsidR="009176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52C" w:rsidRDefault="0088152C">
      <w:r>
        <w:separator/>
      </w:r>
    </w:p>
  </w:endnote>
  <w:endnote w:type="continuationSeparator" w:id="0">
    <w:p w:rsidR="0088152C" w:rsidRDefault="0088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ystem-u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52C" w:rsidRDefault="0088152C">
      <w:r>
        <w:separator/>
      </w:r>
    </w:p>
  </w:footnote>
  <w:footnote w:type="continuationSeparator" w:id="0">
    <w:p w:rsidR="0088152C" w:rsidRDefault="00881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E3925"/>
    <w:multiLevelType w:val="hybridMultilevel"/>
    <w:tmpl w:val="89DAE90E"/>
    <w:lvl w:ilvl="0" w:tplc="74FEBD7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
    <w:nsid w:val="39581A16"/>
    <w:multiLevelType w:val="hybridMultilevel"/>
    <w:tmpl w:val="01020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56265E"/>
    <w:multiLevelType w:val="hybridMultilevel"/>
    <w:tmpl w:val="34040B66"/>
    <w:lvl w:ilvl="0" w:tplc="44748314">
      <w:start w:val="2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0D57E8"/>
    <w:multiLevelType w:val="hybridMultilevel"/>
    <w:tmpl w:val="6C849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6C1"/>
    <w:rsid w:val="0002241A"/>
    <w:rsid w:val="00152CBE"/>
    <w:rsid w:val="001C028E"/>
    <w:rsid w:val="001C7E21"/>
    <w:rsid w:val="002001E2"/>
    <w:rsid w:val="002434B7"/>
    <w:rsid w:val="00422F1D"/>
    <w:rsid w:val="004853F2"/>
    <w:rsid w:val="005E0A47"/>
    <w:rsid w:val="00652053"/>
    <w:rsid w:val="006A540F"/>
    <w:rsid w:val="006C4FD9"/>
    <w:rsid w:val="007111F6"/>
    <w:rsid w:val="00720724"/>
    <w:rsid w:val="0078649E"/>
    <w:rsid w:val="008166C5"/>
    <w:rsid w:val="00856682"/>
    <w:rsid w:val="008707CB"/>
    <w:rsid w:val="0088152C"/>
    <w:rsid w:val="00881580"/>
    <w:rsid w:val="009176C1"/>
    <w:rsid w:val="009C0DB3"/>
    <w:rsid w:val="009E10DA"/>
    <w:rsid w:val="00A31A8D"/>
    <w:rsid w:val="00A33E44"/>
    <w:rsid w:val="00CC0949"/>
    <w:rsid w:val="00D57169"/>
    <w:rsid w:val="00D6356C"/>
    <w:rsid w:val="00D7784F"/>
    <w:rsid w:val="00D936EA"/>
    <w:rsid w:val="00DA643D"/>
    <w:rsid w:val="00F029F9"/>
    <w:rsid w:val="00FE0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rFonts w:ascii="Times New Roman" w:eastAsia="SimSun" w:hAnsi="Times New Roman" w:cs="Mangal"/>
      <w:sz w:val="24"/>
      <w:szCs w:val="24"/>
      <w:lang w:eastAsia="hi-IN" w:bidi="hi-I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paragraph" w:customStyle="1" w:styleId="af9">
    <w:name w:val="Содержимое таблицы"/>
    <w:basedOn w:val="a"/>
    <w:pPr>
      <w:suppressLineNumbers/>
    </w:pPr>
  </w:style>
  <w:style w:type="paragraph" w:customStyle="1" w:styleId="ConsPlusNormal">
    <w:name w:val="ConsPlusNormal"/>
    <w:link w:val="ConsPlusNormal0"/>
    <w:qFormat/>
    <w:pPr>
      <w:widowControl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rPr>
      <w:rFonts w:ascii="Times New Roman" w:eastAsia="Times New Roman" w:hAnsi="Times New Roman" w:cs="Times New Roman"/>
      <w:sz w:val="24"/>
      <w:szCs w:val="20"/>
      <w:lang w:eastAsia="ru-RU"/>
    </w:rPr>
  </w:style>
  <w:style w:type="table" w:styleId="afa">
    <w:name w:val="Table Grid"/>
    <w:basedOn w:val="a1"/>
    <w:uiPriority w:val="5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b">
    <w:name w:val="Обычный (веб) Знак"/>
    <w:aliases w:val="Обычный (веб) Знак Знак Знак Знак,Обычный (Web) Знак Знак Знак Знак Знак,Обычный (Web) Знак Знак Знак Знак1,Обычный (веб) Знак Знак Знак1,Знак Знак Знак Знак Знак Знак,Знак Знак1 Знак Знак,Знак Знак Знак1 Знак Знак1 Знак"/>
    <w:link w:val="afc"/>
    <w:uiPriority w:val="99"/>
    <w:semiHidden/>
    <w:locked/>
    <w:rsid w:val="00A31A8D"/>
    <w:rPr>
      <w:kern w:val="2"/>
      <w:sz w:val="24"/>
      <w:szCs w:val="24"/>
      <w:lang w:eastAsia="ar-SA"/>
    </w:rPr>
  </w:style>
  <w:style w:type="paragraph" w:styleId="afc">
    <w:name w:val="Normal (Web)"/>
    <w:aliases w:val="Обычный (веб) Знак Знак Знак,Обычный (Web) Знак Знак Знак Знак,Обычный (Web) Знак Знак Знак,Обычный (веб) Знак Знак,Знак Знак Знак Знак Знак,Знак Знак1 Знак,Знак Знак Знак1 Знак Знак1,Знак Знак Знак1 Знак Знак Знак Знак Знак"/>
    <w:basedOn w:val="a"/>
    <w:link w:val="afb"/>
    <w:uiPriority w:val="99"/>
    <w:semiHidden/>
    <w:unhideWhenUsed/>
    <w:qFormat/>
    <w:rsid w:val="00A31A8D"/>
    <w:pPr>
      <w:widowControl/>
      <w:spacing w:before="100" w:after="119"/>
    </w:pPr>
    <w:rPr>
      <w:rFonts w:asciiTheme="minorHAnsi" w:eastAsiaTheme="minorHAnsi" w:hAnsiTheme="minorHAnsi" w:cstheme="minorBidi"/>
      <w:kern w:val="2"/>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rFonts w:ascii="Times New Roman" w:eastAsia="SimSun" w:hAnsi="Times New Roman" w:cs="Mangal"/>
      <w:sz w:val="24"/>
      <w:szCs w:val="24"/>
      <w:lang w:eastAsia="hi-IN" w:bidi="hi-I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paragraph" w:customStyle="1" w:styleId="af9">
    <w:name w:val="Содержимое таблицы"/>
    <w:basedOn w:val="a"/>
    <w:pPr>
      <w:suppressLineNumbers/>
    </w:pPr>
  </w:style>
  <w:style w:type="paragraph" w:customStyle="1" w:styleId="ConsPlusNormal">
    <w:name w:val="ConsPlusNormal"/>
    <w:link w:val="ConsPlusNormal0"/>
    <w:qFormat/>
    <w:pPr>
      <w:widowControl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rPr>
      <w:rFonts w:ascii="Times New Roman" w:eastAsia="Times New Roman" w:hAnsi="Times New Roman" w:cs="Times New Roman"/>
      <w:sz w:val="24"/>
      <w:szCs w:val="20"/>
      <w:lang w:eastAsia="ru-RU"/>
    </w:rPr>
  </w:style>
  <w:style w:type="table" w:styleId="afa">
    <w:name w:val="Table Grid"/>
    <w:basedOn w:val="a1"/>
    <w:uiPriority w:val="5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b">
    <w:name w:val="Обычный (веб) Знак"/>
    <w:aliases w:val="Обычный (веб) Знак Знак Знак Знак,Обычный (Web) Знак Знак Знак Знак Знак,Обычный (Web) Знак Знак Знак Знак1,Обычный (веб) Знак Знак Знак1,Знак Знак Знак Знак Знак Знак,Знак Знак1 Знак Знак,Знак Знак Знак1 Знак Знак1 Знак"/>
    <w:link w:val="afc"/>
    <w:uiPriority w:val="99"/>
    <w:semiHidden/>
    <w:locked/>
    <w:rsid w:val="00A31A8D"/>
    <w:rPr>
      <w:kern w:val="2"/>
      <w:sz w:val="24"/>
      <w:szCs w:val="24"/>
      <w:lang w:eastAsia="ar-SA"/>
    </w:rPr>
  </w:style>
  <w:style w:type="paragraph" w:styleId="afc">
    <w:name w:val="Normal (Web)"/>
    <w:aliases w:val="Обычный (веб) Знак Знак Знак,Обычный (Web) Знак Знак Знак Знак,Обычный (Web) Знак Знак Знак,Обычный (веб) Знак Знак,Знак Знак Знак Знак Знак,Знак Знак1 Знак,Знак Знак Знак1 Знак Знак1,Знак Знак Знак1 Знак Знак Знак Знак Знак"/>
    <w:basedOn w:val="a"/>
    <w:link w:val="afb"/>
    <w:uiPriority w:val="99"/>
    <w:semiHidden/>
    <w:unhideWhenUsed/>
    <w:qFormat/>
    <w:rsid w:val="00A31A8D"/>
    <w:pPr>
      <w:widowControl/>
      <w:spacing w:before="100" w:after="119"/>
    </w:pPr>
    <w:rPr>
      <w:rFonts w:asciiTheme="minorHAnsi" w:eastAsiaTheme="minorHAnsi" w:hAnsiTheme="minorHAnsi" w:cstheme="minorBidi"/>
      <w:kern w:val="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267387">
      <w:bodyDiv w:val="1"/>
      <w:marLeft w:val="0"/>
      <w:marRight w:val="0"/>
      <w:marTop w:val="0"/>
      <w:marBottom w:val="0"/>
      <w:divBdr>
        <w:top w:val="none" w:sz="0" w:space="0" w:color="auto"/>
        <w:left w:val="none" w:sz="0" w:space="0" w:color="auto"/>
        <w:bottom w:val="none" w:sz="0" w:space="0" w:color="auto"/>
        <w:right w:val="none" w:sz="0" w:space="0" w:color="auto"/>
      </w:divBdr>
    </w:div>
    <w:div w:id="1529904600">
      <w:bodyDiv w:val="1"/>
      <w:marLeft w:val="0"/>
      <w:marRight w:val="0"/>
      <w:marTop w:val="0"/>
      <w:marBottom w:val="0"/>
      <w:divBdr>
        <w:top w:val="none" w:sz="0" w:space="0" w:color="auto"/>
        <w:left w:val="none" w:sz="0" w:space="0" w:color="auto"/>
        <w:bottom w:val="none" w:sz="0" w:space="0" w:color="auto"/>
        <w:right w:val="none" w:sz="0" w:space="0" w:color="auto"/>
      </w:divBdr>
    </w:div>
    <w:div w:id="1564026770">
      <w:bodyDiv w:val="1"/>
      <w:marLeft w:val="0"/>
      <w:marRight w:val="0"/>
      <w:marTop w:val="0"/>
      <w:marBottom w:val="0"/>
      <w:divBdr>
        <w:top w:val="none" w:sz="0" w:space="0" w:color="auto"/>
        <w:left w:val="none" w:sz="0" w:space="0" w:color="auto"/>
        <w:bottom w:val="none" w:sz="0" w:space="0" w:color="auto"/>
        <w:right w:val="none" w:sz="0" w:space="0" w:color="auto"/>
      </w:divBdr>
    </w:div>
    <w:div w:id="1757169342">
      <w:bodyDiv w:val="1"/>
      <w:marLeft w:val="0"/>
      <w:marRight w:val="0"/>
      <w:marTop w:val="0"/>
      <w:marBottom w:val="0"/>
      <w:divBdr>
        <w:top w:val="none" w:sz="0" w:space="0" w:color="auto"/>
        <w:left w:val="none" w:sz="0" w:space="0" w:color="auto"/>
        <w:bottom w:val="none" w:sz="0" w:space="0" w:color="auto"/>
        <w:right w:val="none" w:sz="0" w:space="0" w:color="auto"/>
      </w:divBdr>
    </w:div>
    <w:div w:id="184085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670</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Бухгалтер</cp:lastModifiedBy>
  <cp:revision>15</cp:revision>
  <dcterms:created xsi:type="dcterms:W3CDTF">2024-11-16T11:34:00Z</dcterms:created>
  <dcterms:modified xsi:type="dcterms:W3CDTF">2024-12-11T11:42:00Z</dcterms:modified>
</cp:coreProperties>
</file>