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"/>
        <w:shd w:val="clear" w:color="auto" w:fill="auto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ООО Санаторий «Тарханы»</w:t>
      </w:r>
    </w:p>
    <w:p>
      <w:pPr>
        <w:pStyle w:val="1"/>
        <w:shd w:val="clear" w:color="auto" w:fill="auto"/>
        <w:spacing w:after="200"/>
        <w:jc w:val="center"/>
        <w:rPr>
          <w:sz w:val="22"/>
          <w:szCs w:val="22"/>
        </w:rPr>
      </w:pPr>
    </w:p>
    <w:p>
      <w:pPr>
        <w:pStyle w:val="1"/>
        <w:shd w:val="clear" w:color="auto" w:fill="auto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ОПИСАНИЕ ОБЪЕКТА</w:t>
      </w:r>
      <w:r>
        <w:rPr>
          <w:sz w:val="22"/>
          <w:szCs w:val="22"/>
        </w:rPr>
        <w:t xml:space="preserve"> ЗАКУПКИ</w:t>
      </w:r>
    </w:p>
    <w:p>
      <w:pPr>
        <w:pStyle w:val="1"/>
        <w:shd w:val="clear" w:color="auto" w:fill="auto"/>
        <w:spacing w:after="200"/>
        <w:jc w:val="center"/>
      </w:pPr>
      <w:r>
        <w:t xml:space="preserve">На оказание услуг проведения технического обслуживания лифтов:</w:t>
      </w:r>
      <w:r>
        <w:rPr>
          <w:sz w:val="22"/>
          <w:szCs w:val="22"/>
        </w:rPr>
        <w:t xml:space="preserve"> </w:t>
      </w:r>
    </w:p>
    <w:p>
      <w:pPr>
        <w:pStyle w:val="1"/>
        <w:shd w:val="clear" w:color="auto" w:fill="auto"/>
        <w:spacing w:after="0"/>
      </w:pPr>
      <w:r>
        <w:rPr>
          <w:b/>
        </w:rPr>
        <w:t xml:space="preserve">Место оказания услуг по адресу</w:t>
      </w:r>
      <w:r>
        <w:t xml:space="preserve">: </w:t>
      </w:r>
      <w:r>
        <w:t xml:space="preserve">Ставропольский край, г. Пятигорск, ул. Карла Маркса 14</w:t>
      </w:r>
    </w:p>
    <w:p>
      <w:pPr>
        <w:pStyle w:val="1"/>
        <w:shd w:val="clear" w:color="auto" w:fill="auto"/>
        <w:spacing w:after="200"/>
        <w:rPr>
          <w:color w:val="auto"/>
          <w:lang w:bidi="ar-SA"/>
        </w:rPr>
      </w:pPr>
      <w:r>
        <w:rPr>
          <w:b/>
        </w:rPr>
        <w:t xml:space="preserve">Срок оказания Услуг в полном объеме</w:t>
      </w:r>
      <w:r>
        <w:t xml:space="preserve">: с</w:t>
      </w:r>
      <w:r>
        <w:t xml:space="preserve"> момента подписания договора </w:t>
      </w:r>
      <w:r>
        <w:t xml:space="preserve">по </w:t>
      </w:r>
      <w:r>
        <w:t xml:space="preserve"> «</w:t>
      </w:r>
      <w:r>
        <w:t xml:space="preserve">31» декабря 2025 г. </w:t>
      </w:r>
      <w:r>
        <w:rPr>
          <w:color w:val="auto"/>
          <w:lang w:bidi="ar-SA"/>
        </w:rPr>
        <w:t xml:space="preserve">Техническое обслуживание должно осуществляться в соответствии с:</w:t>
      </w:r>
    </w:p>
    <w:p>
      <w:pPr>
        <w:pStyle w:val="1"/>
        <w:shd w:val="clear" w:color="auto" w:fill="auto"/>
        <w:spacing w:after="200"/>
        <w:rPr>
          <w:color w:val="auto"/>
          <w:lang w:bidi="ar-SA"/>
        </w:rPr>
      </w:pPr>
    </w:p>
    <w:p>
      <w:pPr>
        <w:pStyle w:val="1"/>
        <w:spacing w:after="200"/>
        <w:rPr>
          <w:b/>
          <w:bCs/>
          <w:color w:val="auto"/>
          <w:lang w:bidi="ar-SA"/>
        </w:rPr>
      </w:pPr>
      <w:r>
        <w:rPr>
          <w:b/>
          <w:bCs/>
          <w:color w:val="auto"/>
          <w:lang w:bidi="ar-SA"/>
        </w:rPr>
        <w:t xml:space="preserve">ВЕДОМОСТЬ</w:t>
      </w:r>
    </w:p>
    <w:p>
      <w:pPr>
        <w:pStyle w:val="1"/>
        <w:spacing w:after="200"/>
        <w:rPr>
          <w:b/>
          <w:bCs/>
          <w:color w:val="auto"/>
          <w:lang w:bidi="ar-SA"/>
        </w:rPr>
      </w:pPr>
      <w:r>
        <w:rPr>
          <w:b/>
          <w:bCs/>
          <w:color w:val="auto"/>
          <w:lang w:bidi="ar-SA"/>
        </w:rPr>
        <w:t xml:space="preserve">объектов, принятых на техническое обслуживание </w:t>
      </w:r>
    </w:p>
    <w:p>
      <w:pPr>
        <w:pStyle w:val="1"/>
        <w:spacing w:after="200"/>
        <w:rPr>
          <w:b/>
          <w:bCs/>
          <w:color w:val="auto"/>
          <w:lang w:bidi="ar-SA"/>
        </w:rPr>
      </w:pPr>
    </w:p>
    <w:tbl>
      <w:tblPr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0"/>
        <w:gridCol w:w="3399"/>
        <w:gridCol w:w="1892"/>
        <w:gridCol w:w="2237"/>
        <w:gridCol w:w="1717"/>
      </w:tblGrid>
      <w:t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№№</w:t>
            </w:r>
          </w:p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пп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Адрес установки лифта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Завод.</w:t>
            </w:r>
          </w:p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№ лифта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Назначение, г/п, этажность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Цена технического обслуживания ежемесячно</w:t>
            </w:r>
          </w:p>
        </w:tc>
      </w:tr>
      <w:t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Санаторий «Тарханы»</w:t>
            </w:r>
            <w:r>
              <w:rPr>
                <w:color w:val="auto"/>
                <w:lang w:bidi="ar-SA"/>
              </w:rPr>
              <w:br/>
              <w:t xml:space="preserve">г. Пятигорск, ул. Карла Маркса, 14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val="en-US" w:bidi="ar-SA"/>
              </w:rPr>
              <w:t xml:space="preserve">B7NS4100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П-630/8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</w:p>
        </w:tc>
      </w:tr>
      <w:t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-//-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20966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П-630/9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</w:p>
        </w:tc>
      </w:tr>
      <w:t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3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-//-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МГ-100/2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</w:p>
        </w:tc>
      </w:tr>
      <w:t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"/>
              <w:spacing w:after="200"/>
              <w:rPr>
                <w:color w:val="auto"/>
                <w:lang w:bidi="ar-SA"/>
              </w:rPr>
            </w:pPr>
          </w:p>
        </w:tc>
      </w:tr>
    </w:tbl>
    <w:p>
      <w:pPr>
        <w:pStyle w:val="1"/>
        <w:shd w:val="clear" w:color="auto" w:fill="auto"/>
        <w:spacing w:after="200"/>
        <w:rPr>
          <w:color w:val="auto"/>
          <w:lang w:bidi="ar-SA"/>
        </w:rPr>
      </w:pP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Технический регламент Таможенного союза (ТР ТС 011/2011);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ГОСТ Р 33984.1-2023 Лифты. Общие требования безопасности к устройству и установке;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ГОСТ Р 53782-2010. Лифты. Правила и методы оценки соответствия лифтов при вводе в эксплуатацию;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ГОСТ Р 34583-2019. Лифты. Правила и методы оценки соответствия лифтов в период эксплуатации;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ГОСТ Р 34441-2018. Лифты. Диспетчерский контроль. Общие технические требования;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ГОСТ Р 55964-2022. Лифты. Общие требования безопасности при   эксплуатации;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ГОСТ Р 55965-2014. Лифты. Общие требования к модернизации находящихся в эксплуатации лифтов;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ГОСТ Р 55969-2023. Лифты. Ввод в эксплуатацию. Общие требования.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Руководство по эксплуатации завода - изготовителя оборудования лифта;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Федеральный Закон № 225-ФЗ от 27.07.2010 г. «Об обязательном страховании </w:t>
      </w:r>
      <w:r>
        <w:rPr>
          <w:color w:val="auto"/>
          <w:lang w:bidi="ar-SA"/>
        </w:rPr>
        <w:t xml:space="preserve">гражданской ответственности владельца опасного объекта за причинение вреда в результате аварии на опасном объекте» (ред. от 18.12.2018 г.);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Постановление Правительства РФ от 20.10.2023 г., № 1744 «Об организации безопасного использования и содержания лифтов, подъемных платформ для инвалидов, пассажирских конвейеров (движущих пешеходных дорожек), эскалаторов, за исключением эскалаторов в метрополитенах»;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Приказ Ростехнадзора от 12 октября 2017 г. N 426 об утверждении «</w:t>
      </w:r>
      <w:hyperlink w:anchor="P37" w:history="1">
        <w:r>
          <w:rPr>
            <w:rStyle w:val="a8"/>
            <w:lang w:bidi="ar-SA"/>
          </w:rPr>
          <w:t xml:space="preserve">Порядк</w:t>
        </w:r>
      </w:hyperlink>
      <w:r>
        <w:rPr>
          <w:color w:val="auto"/>
          <w:lang w:bidi="ar-SA"/>
        </w:rPr>
        <w:t xml:space="preserve">а ведения реестра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государственный контроль (надзор) за соблюдением требований к организации безопасного использования и содержания которых осуществляется Федеральной службой по экологическому, технологическому и атомному надзору»;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Приказ Ростехнадзора от 14 августа 2017 г. N 309 (Внесение изменений от 19.09.2019 г. № 359) об утверждении форм журналов осмотров лифтов и технического обслуживания лифтов;</w:t>
      </w:r>
    </w:p>
    <w:p>
      <w:pPr>
        <w:pStyle w:val="1"/>
        <w:numPr>
          <w:ilvl w:val="0"/>
          <w:numId w:val="4"/>
        </w:numPr>
        <w:spacing w:after="200"/>
        <w:rPr>
          <w:color w:val="auto"/>
          <w:lang w:bidi="ar-SA"/>
        </w:rPr>
      </w:pPr>
      <w:r>
        <w:rPr>
          <w:color w:val="auto"/>
          <w:lang w:bidi="ar-SA"/>
        </w:rPr>
        <w:t xml:space="preserve">Другими нормативными документами, в том числе вступившими в силу во время действия настоящего договора.</w:t>
      </w:r>
    </w:p>
    <w:p>
      <w:pPr>
        <w:pStyle w:val="1"/>
        <w:shd w:val="clear" w:color="auto" w:fill="auto"/>
        <w:spacing w:after="200"/>
        <w:rPr>
          <w:color w:val="auto"/>
          <w:lang w:bidi="ar-SA"/>
        </w:rPr>
      </w:pPr>
    </w:p>
    <w:p>
      <w:pPr>
        <w:pStyle w:val="1"/>
        <w:shd w:val="clear" w:color="auto" w:fill="auto"/>
        <w:spacing w:after="200"/>
        <w:rPr>
          <w:color w:val="auto"/>
          <w:lang w:bidi="ar-SA"/>
        </w:rPr>
      </w:pPr>
    </w:p>
    <w:p>
      <w:pPr>
        <w:keepLines w:val="true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Исполнитель должен являться специализированной по лифтам организацией.</w:t>
      </w:r>
    </w:p>
    <w:p>
      <w:pPr>
        <w:pStyle w:val="1"/>
        <w:shd w:val="clear" w:color="auto" w:fill="auto"/>
        <w:spacing w:after="0"/>
        <w:ind w:firstLine="940"/>
        <w:rPr>
          <w:b/>
          <w:bCs/>
          <w:u w:val="single"/>
        </w:rPr>
      </w:pPr>
    </w:p>
    <w:p>
      <w:pPr>
        <w:pStyle w:val="1"/>
        <w:shd w:val="clear" w:color="auto" w:fill="auto"/>
        <w:spacing w:after="0"/>
        <w:ind w:firstLine="940"/>
        <w:rPr>
          <w:b/>
          <w:bCs/>
          <w:u w:val="single"/>
        </w:rPr>
      </w:pPr>
      <w:r>
        <w:rPr>
          <w:b/>
          <w:bCs/>
          <w:u w:val="single"/>
        </w:rPr>
        <w:t xml:space="preserve">Услуги включают в себя:</w:t>
      </w:r>
    </w:p>
    <w:p>
      <w:pPr>
        <w:pStyle w:val="1"/>
        <w:shd w:val="clear" w:color="auto" w:fill="auto"/>
        <w:spacing w:after="0"/>
        <w:ind w:firstLine="940"/>
        <w:rPr>
          <w:b/>
          <w:bCs/>
          <w:u w:val="single"/>
        </w:rPr>
      </w:pPr>
    </w:p>
    <w:p>
      <w:pPr>
        <w:spacing w:before="100" w:line="240" w:lineRule="exact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К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омплексное обслуживание лифтового оборудования, установленного на объектах Заказчика,   диспетчерской связи, а так же сигналов, поступающих на пульт диспетчера с лифтов и инженерного оборудования до контроллера, установленного на объектах Заказчика, замена вышедшего из строя лифтового оборудования, оборудования лифтовой ремонтной и диспетчерской связи и диспетчерского контроля, включая работы капитального характера, предусмотренные, Национальным стандартом РФ ГОСТ Р 55964-2022 "Лифты. Общие требования безопасности при эксплуатации" (утв. и введен в действие приказом Федерального агентства по техническому регулированию и метрологии от 10 октября 2022 г. N 1114-ст).  </w:t>
      </w:r>
    </w:p>
    <w:p>
      <w:pPr>
        <w:rPr>
          <w:rFonts w:ascii="Times New Roman" w:hAnsi="Times New Roman" w:eastAsia="Times New Roman" w:cs="Times New Roman"/>
          <w:color w:val="auto"/>
          <w:lang w:bidi="ar-SA"/>
        </w:rPr>
      </w:pPr>
    </w:p>
    <w:p>
      <w:pPr>
        <w:ind w:right="244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Текущий ремонт оборудования включает проведение ежемесячных. ежеквартальных. полугодовых и ежегодных ремонтов с целью восстановления его исправности</w:t>
      </w:r>
    </w:p>
    <w:p>
      <w:pPr>
        <w:ind w:right="244" w:left="58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(работоспособности), а также 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поддержания эксплуатационных показателей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к которым относятся следующие виды работ:</w:t>
      </w:r>
    </w:p>
    <w:p>
      <w:pPr>
        <w:ind w:right="244" w:left="58"/>
        <w:rPr>
          <w:rFonts w:ascii="Times New Roman" w:hAnsi="Times New Roman" w:eastAsia="Times New Roman" w:cs="Times New Roman"/>
          <w:color w:val="auto"/>
          <w:lang w:bidi="ar-SA"/>
        </w:rPr>
      </w:pPr>
    </w:p>
    <w:p>
      <w:pPr>
        <w:ind w:right="244" w:left="58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lang w:bidi="ar-SA"/>
        </w:rPr>
        <w:t xml:space="preserve">Техническое обслуживание и ремонт лифта 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– комплекс работ по обеспечению и восстановлению исправности и безопасности лифта на стадии эксплуатации. Устранение неисправностей, не связанных с капитальным 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ремонтом  объекта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в срок, не превышающий 24 часов с момента его остановки (Постановление Правительства РФ № 1744 от 20.10.2023 г. «Правила. 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п.п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. 17-З»).</w:t>
      </w:r>
    </w:p>
    <w:p>
      <w:pPr>
        <w:ind w:right="244" w:left="58"/>
        <w:rPr>
          <w:rFonts w:ascii="Times New Roman" w:hAnsi="Times New Roman" w:eastAsia="Times New Roman" w:cs="Times New Roman"/>
          <w:color w:val="auto"/>
          <w:lang w:bidi="ar-SA"/>
        </w:rPr>
      </w:pPr>
    </w:p>
    <w:p>
      <w:pPr>
        <w:widowControl w:val="true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lang w:bidi="ar-SA"/>
        </w:rPr>
        <w:t xml:space="preserve">Аварийно-техническое обслуживание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- проведение работ по безопасной эвакуации пассажиров из кабин остановившихся лифтов, и (или) по восстановлению работоспособности остановившихся лифтов.</w:t>
      </w:r>
    </w:p>
    <w:p>
      <w:pPr>
        <w:widowControl w:val="true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   Время эвакуации пассажиров из кабины остановившегося лифта 30 минут с момента поступления заявки в аварийную службу специализированной лифтовой организации.</w:t>
      </w:r>
    </w:p>
    <w:p>
      <w:pPr>
        <w:widowControl w:val="true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</w:p>
    <w:p>
      <w:pPr>
        <w:widowControl w:val="true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 Режим работы 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оборудования  </w:t>
      </w:r>
      <w:r>
        <w:rPr>
          <w:rFonts w:ascii="Times New Roman" w:hAnsi="Times New Roman" w:eastAsia="Times New Roman" w:cs="Times New Roman"/>
          <w:b/>
          <w:color w:val="auto"/>
          <w:u w:val="single"/>
          <w:lang w:bidi="ar-SA"/>
        </w:rPr>
        <w:t xml:space="preserve">круглосуточно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.</w:t>
      </w:r>
    </w:p>
    <w:p>
      <w:pPr>
        <w:widowControl w:val="true"/>
        <w:jc w:val="both"/>
        <w:rPr>
          <w:rFonts w:ascii="Times New Roman" w:hAnsi="Times New Roman" w:eastAsia="Times New Roman" w:cs="Times New Roman"/>
          <w:b/>
          <w:color w:val="auto"/>
          <w:lang w:bidi="ar-SA"/>
        </w:rPr>
      </w:pPr>
    </w:p>
    <w:p>
      <w:pPr>
        <w:widowControl w:val="true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 Все материалы, узлы и оборудование приобретается </w:t>
      </w:r>
      <w:r>
        <w:rPr>
          <w:rFonts w:ascii="Times New Roman" w:hAnsi="Times New Roman" w:eastAsia="Times New Roman" w:cs="Times New Roman"/>
          <w:b/>
          <w:color w:val="auto"/>
          <w:lang w:bidi="ar-SA"/>
        </w:rPr>
        <w:t xml:space="preserve">«Исполнителем»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по отдельному дополнительному соглашению, на согласованных с </w:t>
      </w:r>
      <w:r>
        <w:rPr>
          <w:rFonts w:ascii="Times New Roman" w:hAnsi="Times New Roman" w:eastAsia="Times New Roman" w:cs="Times New Roman"/>
          <w:b/>
          <w:color w:val="auto"/>
          <w:lang w:bidi="ar-SA"/>
        </w:rPr>
        <w:t xml:space="preserve">«Заказчиком»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условиях приобретения оборудования. Стоимость выполненных работ рассчитывается на основании ГУ КК «Управление ценообразования в строительстве» за текущий квартал текущего года. </w:t>
      </w:r>
      <w:r>
        <w:rPr>
          <w:rFonts w:ascii="Times New Roman" w:hAnsi="Times New Roman" w:eastAsia="Times New Roman" w:cs="Times New Roman"/>
          <w:b/>
          <w:color w:val="auto"/>
          <w:lang w:bidi="ar-SA"/>
        </w:rPr>
        <w:t xml:space="preserve">     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Срок поставки   материалов, необходимых для выполнения работ капитального характера определяется сторонами с учетом особенностей каждой конкретной заявки после 100% предварительной оплаты 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за  материалы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.</w:t>
      </w:r>
    </w:p>
    <w:p>
      <w:pPr>
        <w:widowControl w:val="true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</w:p>
    <w:p>
      <w:pPr>
        <w:ind w:right="244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lang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lang w:bidi="ar-SA"/>
        </w:rPr>
        <w:t xml:space="preserve">Исполнитель»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 может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предложить </w:t>
      </w:r>
      <w:r>
        <w:rPr>
          <w:rFonts w:ascii="Times New Roman" w:hAnsi="Times New Roman" w:eastAsia="Times New Roman" w:cs="Times New Roman"/>
          <w:b/>
          <w:bCs/>
          <w:color w:val="auto"/>
          <w:lang w:bidi="ar-SA"/>
        </w:rPr>
        <w:t xml:space="preserve">«Заказчику»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за отдельную плату дополнительные услуги, не предусмотренные настоящим договором:</w:t>
      </w:r>
    </w:p>
    <w:p>
      <w:pPr>
        <w:numPr>
          <w:ilvl w:val="0"/>
          <w:numId w:val="5"/>
        </w:numPr>
        <w:ind w:right="244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работы, направленные на повышение безопасности оборудования по решению органов Ростехнадзора РФ, завода-изготовителя;</w:t>
      </w:r>
    </w:p>
    <w:p>
      <w:pPr>
        <w:numPr>
          <w:ilvl w:val="0"/>
          <w:numId w:val="5"/>
        </w:numPr>
        <w:ind w:right="244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замена и 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поставка  оборудования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;</w:t>
      </w:r>
    </w:p>
    <w:p>
      <w:pPr>
        <w:numPr>
          <w:ilvl w:val="0"/>
          <w:numId w:val="5"/>
        </w:numPr>
        <w:ind w:right="244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модернизация лифтов;</w:t>
      </w:r>
    </w:p>
    <w:p>
      <w:pPr>
        <w:numPr>
          <w:ilvl w:val="0"/>
          <w:numId w:val="5"/>
        </w:numPr>
        <w:ind w:right="244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изменения дизайна кабины;</w:t>
      </w:r>
    </w:p>
    <w:p>
      <w:pPr>
        <w:numPr>
          <w:ilvl w:val="0"/>
          <w:numId w:val="5"/>
        </w:numPr>
        <w:ind w:right="244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капитальный ремонт с заменой основных узлов.</w:t>
      </w:r>
    </w:p>
    <w:p>
      <w:pPr>
        <w:ind w:right="244"/>
        <w:rPr>
          <w:rFonts w:ascii="Times New Roman" w:hAnsi="Times New Roman" w:eastAsia="Times New Roman" w:cs="Times New Roman"/>
          <w:color w:val="auto"/>
          <w:lang w:bidi="ar-SA"/>
        </w:rPr>
      </w:pPr>
    </w:p>
    <w:p>
      <w:pPr>
        <w:ind w:right="244" w:left="58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lang w:bidi="ar-SA"/>
        </w:rPr>
        <w:t xml:space="preserve">Исполнитель"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гарантирует качество выполняемых работ по обслуживанию лифтов и их соответствии стандартам, нормам, правилам.</w:t>
      </w:r>
    </w:p>
    <w:p>
      <w:pPr>
        <w:ind w:right="244" w:left="58"/>
        <w:rPr>
          <w:rFonts w:ascii="Times New Roman" w:hAnsi="Times New Roman" w:eastAsia="Times New Roman" w:cs="Times New Roman"/>
          <w:color w:val="auto"/>
          <w:lang w:bidi="ar-SA"/>
        </w:rPr>
      </w:pPr>
    </w:p>
    <w:p>
      <w:pPr>
        <w:spacing w:after="31"/>
        <w:ind w:right="686" w:firstLine="835"/>
        <w:rPr>
          <w:rFonts w:ascii="Times New Roman" w:hAnsi="Times New Roman" w:eastAsia="Times New Roman" w:cs="Times New Roman"/>
          <w:color w:val="auto"/>
          <w:lang w:bidi="ar-SA"/>
        </w:rPr>
      </w:pPr>
    </w:p>
    <w:p>
      <w:pPr>
        <w:spacing w:after="46"/>
        <w:ind w:right="547" w:left="5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 </w:t>
      </w:r>
    </w:p>
    <w:p>
      <w:pPr>
        <w:spacing w:after="60"/>
        <w:ind w:right="845" w:left="14"/>
        <w:rPr>
          <w:rFonts w:ascii="Times New Roman" w:hAnsi="Times New Roman" w:eastAsia="Times New Roman" w:cs="Times New Roman"/>
          <w:color w:val="auto"/>
          <w:lang w:bidi="ar-SA"/>
        </w:rPr>
      </w:pPr>
    </w:p>
    <w:p>
      <w:pPr>
        <w:pStyle w:val="1"/>
        <w:shd w:val="clear" w:color="auto" w:fill="auto"/>
        <w:spacing w:after="0" w:line="214" w:lineRule="auto"/>
        <w:ind w:firstLine="20" w:left="580"/>
        <w:jc w:val="both"/>
      </w:pPr>
      <w:r>
        <w:t xml:space="preserve">.</w:t>
      </w:r>
    </w:p>
    <w:sectPr>
      <w:pgSz w:h="16840" w:w="11900"/>
      <w:pgMar w:top="1020" w:right="538" w:bottom="1020" w:left="1328" w:header="592" w:footer="5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A24DE24">
      <w:lvlJc w:val="left"/>
      <w:lvlText w:val="%1."/>
      <w:numFmt w:val="decimal"/>
      <w:pPr>
        <w:ind w:left="2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4"/>
    </w:lvl>
    <w:lvl w:ilvl="1" w:tplc="984C3760">
      <w:lvlJc w:val="left"/>
      <w:lvlText w:val="%2"/>
      <w:numFmt w:val="lowerLetter"/>
      <w:pPr>
        <w:ind w:left="10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</w:lvl>
    <w:lvl w:ilvl="2" w:tplc="B0F2BD2E">
      <w:lvlJc w:val="left"/>
      <w:lvlText w:val="%3"/>
      <w:numFmt w:val="lowerRoman"/>
      <w:pPr>
        <w:ind w:left="18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</w:lvl>
    <w:lvl w:ilvl="3" w:tplc="070C9772">
      <w:lvlJc w:val="left"/>
      <w:lvlText w:val="%4"/>
      <w:numFmt w:val="decimal"/>
      <w:pPr>
        <w:ind w:left="25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</w:lvl>
    <w:lvl w:ilvl="4" w:tplc="8DE2BDA0">
      <w:lvlJc w:val="left"/>
      <w:lvlText w:val="%5"/>
      <w:numFmt w:val="lowerLetter"/>
      <w:pPr>
        <w:ind w:left="3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</w:lvl>
    <w:lvl w:ilvl="5" w:tplc="2AEAABD4">
      <w:lvlJc w:val="left"/>
      <w:lvlText w:val="%6"/>
      <w:numFmt w:val="lowerRoman"/>
      <w:pPr>
        <w:ind w:left="39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</w:lvl>
    <w:lvl w:ilvl="6" w:tplc="762849CE">
      <w:lvlJc w:val="left"/>
      <w:lvlText w:val="%7"/>
      <w:numFmt w:val="decimal"/>
      <w:pPr>
        <w:ind w:left="46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</w:lvl>
    <w:lvl w:ilvl="7" w:tplc="C3D080EC">
      <w:lvlJc w:val="left"/>
      <w:lvlText w:val="%8"/>
      <w:numFmt w:val="lowerLetter"/>
      <w:pPr>
        <w:ind w:left="5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</w:lvl>
    <w:lvl w:ilvl="8" w:tplc="3C4CB044">
      <w:lvlJc w:val="left"/>
      <w:lvlText w:val="%9"/>
      <w:numFmt w:val="lowerRoman"/>
      <w:pPr>
        <w:ind w:left="61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</w:lvl>
  </w:abstractNum>
  <w:abstractNum w:abstractNumId="1">
    <w:multiLevelType w:val="multilevel"/>
    <w:lvl w:ilvl="0">
      <w:lvlJc w:val="left"/>
      <w:lvlText w:val=""/>
      <w:numFmt w:val="bullet"/>
      <w:pPr>
        <w:tabs>
          <w:tab w:val="num" w:pos="360"/>
        </w:tabs>
        <w:ind w:firstLine="0" w:left="0"/>
      </w:pPr>
      <w:rPr>
        <w:rFonts w:ascii="Symbol" w:hAnsi="Symbol"/>
        <w:sz w:val="28"/>
      </w:rPr>
      <w:start w:val="1"/>
    </w:lvl>
    <w:lvl w:ilvl="1">
      <w:lvlJc w:val="left"/>
      <w:lvlText/>
      <w:numFmt w:val="bullet"/>
    </w:lvl>
    <w:lvl w:ilvl="2">
      <w:lvlJc w:val="left"/>
      <w:lvlText/>
      <w:numFmt w:val="bullet"/>
    </w:lvl>
    <w:lvl w:ilvl="3">
      <w:lvlJc w:val="left"/>
      <w:lvlText/>
      <w:numFmt w:val="bullet"/>
    </w:lvl>
    <w:lvl w:ilvl="4">
      <w:lvlJc w:val="left"/>
      <w:lvlText/>
      <w:numFmt w:val="bullet"/>
    </w:lvl>
    <w:lvl w:ilvl="5">
      <w:lvlJc w:val="left"/>
      <w:lvlText/>
      <w:numFmt w:val="bullet"/>
    </w:lvl>
    <w:lvl w:ilvl="6">
      <w:lvlJc w:val="left"/>
      <w:lvlText/>
      <w:numFmt w:val="bullet"/>
    </w:lvl>
    <w:lvl w:ilvl="7">
      <w:lvlJc w:val="left"/>
      <w:lvlText/>
      <w:numFmt w:val="bullet"/>
    </w:lvl>
    <w:lvl w:ilvl="8">
      <w:lvlJc w:val="left"/>
      <w:lvlText/>
      <w:numFmt w:val="bullet"/>
    </w:lvl>
  </w:abstractNum>
  <w:abstractNum w:abstractNumId="2">
    <w:multiLevelType w:val="multilevel"/>
    <w:lvl w:ilvl="0">
      <w:lvlJc w:val="left"/>
      <w:lvlText w:val="-"/>
      <w:numFmt w:val="bulle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</w:lvl>
    <w:lvl w:ilvl="1">
      <w:lvlJc w:val="left"/>
      <w:lvlText/>
      <w:numFmt w:val="decimal"/>
    </w:lvl>
    <w:lvl w:ilvl="2">
      <w:lvlJc w:val="left"/>
      <w:lvlText/>
      <w:numFmt w:val="decimal"/>
    </w:lvl>
    <w:lvl w:ilvl="3">
      <w:lvlJc w:val="left"/>
      <w:lvlText/>
      <w:numFmt w:val="decimal"/>
    </w:lvl>
    <w:lvl w:ilvl="4">
      <w:lvlJc w:val="left"/>
      <w:lvlText/>
      <w:numFmt w:val="decimal"/>
    </w:lvl>
    <w:lvl w:ilvl="5">
      <w:lvlJc w:val="left"/>
      <w:lvlText/>
      <w:numFmt w:val="decimal"/>
    </w:lvl>
    <w:lvl w:ilvl="6">
      <w:lvlJc w:val="left"/>
      <w:lvlText/>
      <w:numFmt w:val="decimal"/>
    </w:lvl>
    <w:lvl w:ilvl="7">
      <w:lvlJc w:val="left"/>
      <w:lvlText/>
      <w:numFmt w:val="decimal"/>
    </w:lvl>
    <w:lvl w:ilvl="8">
      <w:lvlJc w:val="left"/>
      <w:lvlText/>
      <w:numFmt w:val="decimal"/>
    </w:lvl>
  </w:abstractNum>
  <w:abstractNum w:abstractNumId="3">
    <w:multiLevelType w:val="hybridMultilevel"/>
    <w:lvl w:ilvl="0" w:tplc="50C8A070">
      <w:lvlJc w:val="left"/>
      <w:lvlText w:val="%1."/>
      <w:numFmt w:val="decimal"/>
      <w:pPr>
        <w:ind w:left="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3"/>
    </w:lvl>
    <w:lvl w:ilvl="1" w:tplc="5F7EE0E6">
      <w:lvlJc w:val="left"/>
      <w:lvlText w:val="%2"/>
      <w:numFmt w:val="lowerLetter"/>
      <w:pPr>
        <w:ind w:left="10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</w:lvl>
    <w:lvl w:ilvl="2" w:tplc="74CADE86">
      <w:lvlJc w:val="left"/>
      <w:lvlText w:val="%3"/>
      <w:numFmt w:val="lowerRoman"/>
      <w:pPr>
        <w:ind w:left="18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</w:lvl>
    <w:lvl w:ilvl="3" w:tplc="43B281FC">
      <w:lvlJc w:val="left"/>
      <w:lvlText w:val="%4"/>
      <w:numFmt w:val="decimal"/>
      <w:pPr>
        <w:ind w:left="25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</w:lvl>
    <w:lvl w:ilvl="4" w:tplc="19C4F730">
      <w:lvlJc w:val="left"/>
      <w:lvlText w:val="%5"/>
      <w:numFmt w:val="lowerLetter"/>
      <w:pPr>
        <w:ind w:left="32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</w:lvl>
    <w:lvl w:ilvl="5" w:tplc="94448D58">
      <w:lvlJc w:val="left"/>
      <w:lvlText w:val="%6"/>
      <w:numFmt w:val="lowerRoman"/>
      <w:pPr>
        <w:ind w:left="39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</w:lvl>
    <w:lvl w:ilvl="6" w:tplc="0EDEC03A">
      <w:lvlJc w:val="left"/>
      <w:lvlText w:val="%7"/>
      <w:numFmt w:val="decimal"/>
      <w:pPr>
        <w:ind w:left="46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</w:lvl>
    <w:lvl w:ilvl="7" w:tplc="27CE93FC">
      <w:lvlJc w:val="left"/>
      <w:lvlText w:val="%8"/>
      <w:numFmt w:val="lowerLetter"/>
      <w:pPr>
        <w:ind w:left="54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</w:lvl>
    <w:lvl w:ilvl="8" w:tplc="B3D22740">
      <w:lvlJc w:val="left"/>
      <w:lvlText w:val="%9"/>
      <w:numFmt w:val="lowerRoman"/>
      <w:pPr>
        <w:ind w:left="61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</w:lvl>
  </w:abstractNum>
  <w:abstractNum w:abstractNumId="4">
    <w:multiLevelType w:val="multilevel"/>
    <w:lvl w:ilvl="0">
      <w:lvlJc w:val="left"/>
      <w:lvlText w:val=""/>
      <w:numFmt w:val="bullet"/>
      <w:pPr>
        <w:tabs>
          <w:tab w:val="num" w:pos="720"/>
        </w:tabs>
        <w:ind w:hanging="360" w:left="720"/>
      </w:pPr>
      <w:rPr>
        <w:rFonts w:ascii="Symbol" w:hAnsi="Symbol"/>
      </w:rPr>
      <w:start w:val="1"/>
    </w:lvl>
    <w:lvl w:ilvl="1">
      <w:lvlJc w:val="left"/>
      <w:lvlText w:val="%1.%2."/>
      <w:numFmt w:val="decimal"/>
      <w:pPr>
        <w:tabs>
          <w:tab w:val="num" w:pos="855"/>
        </w:tabs>
        <w:ind w:hanging="495" w:left="855"/>
      </w:pPr>
      <w:start w:val="1"/>
    </w:lvl>
    <w:lvl w:ilvl="2">
      <w:lvlJc w:val="right"/>
      <w:lvlText w:val="%3."/>
      <w:numFmt w:val="lowerRoman"/>
      <w:pPr>
        <w:tabs>
          <w:tab w:val="num" w:pos="720"/>
        </w:tabs>
        <w:ind w:hanging="360" w:left="720"/>
      </w:pPr>
      <w:start w:val="1"/>
    </w:lvl>
    <w:lvl w:ilvl="3">
      <w:lvlJc w:val="left"/>
      <w:lvlText w:val="%1.%2.%3.%4."/>
      <w:numFmt w:val="decimal"/>
      <w:pPr>
        <w:tabs>
          <w:tab w:val="num" w:pos="1080"/>
        </w:tabs>
        <w:ind w:hanging="720" w:left="1080"/>
      </w:pPr>
      <w:start w:val="1"/>
    </w:lvl>
    <w:lvl w:ilvl="4">
      <w:lvlJc w:val="left"/>
      <w:lvlText w:val="%1.%2.%3.%4.%5."/>
      <w:numFmt w:val="decimal"/>
      <w:pPr>
        <w:tabs>
          <w:tab w:val="num" w:pos="1440"/>
        </w:tabs>
        <w:ind w:hanging="1080" w:left="1440"/>
      </w:pPr>
      <w:start w:val="1"/>
    </w:lvl>
    <w:lvl w:ilvl="5">
      <w:lvlJc w:val="left"/>
      <w:lvlText w:val="%1.%2.%3.%4.%5.%6."/>
      <w:numFmt w:val="decimal"/>
      <w:pPr>
        <w:tabs>
          <w:tab w:val="num" w:pos="1440"/>
        </w:tabs>
        <w:ind w:hanging="1080" w:left="1440"/>
      </w:pPr>
      <w:start w:val="1"/>
    </w:lvl>
    <w:lvl w:ilvl="6">
      <w:lvlJc w:val="left"/>
      <w:lvlText w:val="%1.%2.%3.%4.%5.%6.%7."/>
      <w:numFmt w:val="decimal"/>
      <w:pPr>
        <w:tabs>
          <w:tab w:val="num" w:pos="1440"/>
        </w:tabs>
        <w:ind w:hanging="1080" w:left="1440"/>
      </w:pPr>
      <w:start w:val="1"/>
    </w:lvl>
    <w:lvl w:ilvl="7">
      <w:lvlJc w:val="left"/>
      <w:lvlText w:val="%1.%2.%3.%4.%5.%6.%7.%8."/>
      <w:numFmt w:val="decimal"/>
      <w:pPr>
        <w:tabs>
          <w:tab w:val="num" w:pos="1800"/>
        </w:tabs>
        <w:ind w:hanging="1440" w:left="1800"/>
      </w:pPr>
      <w:start w:val="1"/>
    </w:lvl>
    <w:lvl w:ilvl="8">
      <w:lvlJc w:val="left"/>
      <w:lvlText w:val="%1.%2.%3.%4.%5.%6.%7.%8.%9."/>
      <w:numFmt w:val="decimal"/>
      <w:pPr>
        <w:tabs>
          <w:tab w:val="num" w:pos="1800"/>
        </w:tabs>
        <w:ind w:hanging="1440" w:left="1800"/>
      </w:pPr>
      <w:start w:val="1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fals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color w:val="00000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Основной текст_"/>
    <w:basedOn w:val="a0"/>
    <w:link w:val="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4" w:customStyle="1">
    <w:name w:val="Другое_"/>
    <w:basedOn w:val="a0"/>
    <w:link w:val="a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6" w:customStyle="1">
    <w:name w:val="Подпись к таблице_"/>
    <w:basedOn w:val="a0"/>
    <w:link w:val="a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2" w:customStyle="1">
    <w:name w:val="Основной текст (2)_"/>
    <w:basedOn w:val="a0"/>
    <w:link w:val="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1" w:customStyle="1">
    <w:name w:val="Основной текст1"/>
    <w:basedOn w:val="a"/>
    <w:link w:val="a3"/>
    <w:pPr>
      <w:shd w:val="clear" w:color="auto" w:fill="ffffff"/>
      <w:spacing w:after="100"/>
    </w:pPr>
    <w:rPr>
      <w:rFonts w:ascii="Times New Roman" w:hAnsi="Times New Roman" w:eastAsia="Times New Roman" w:cs="Times New Roman"/>
    </w:rPr>
  </w:style>
  <w:style w:type="paragraph" w:styleId="a5" w:customStyle="1">
    <w:name w:val="Другое"/>
    <w:basedOn w:val="a"/>
    <w:link w:val="a4"/>
    <w:pPr>
      <w:shd w:val="clear" w:color="auto" w:fill="ffffff"/>
      <w:spacing w:after="100"/>
    </w:pPr>
    <w:rPr>
      <w:rFonts w:ascii="Times New Roman" w:hAnsi="Times New Roman" w:eastAsia="Times New Roman" w:cs="Times New Roman"/>
    </w:rPr>
  </w:style>
  <w:style w:type="paragraph" w:styleId="a7" w:customStyle="1">
    <w:name w:val="Подпись к таблице"/>
    <w:basedOn w:val="a"/>
    <w:link w:val="a6"/>
    <w:pPr>
      <w:shd w:val="clear" w:color="auto" w:fill="ffffff"/>
    </w:pPr>
    <w:rPr>
      <w:rFonts w:ascii="Times New Roman" w:hAnsi="Times New Roman" w:eastAsia="Times New Roman" w:cs="Times New Roman"/>
    </w:rPr>
  </w:style>
  <w:style w:type="paragraph" w:styleId="20" w:customStyle="1">
    <w:name w:val="Основной текст (2)"/>
    <w:basedOn w:val="a"/>
    <w:link w:val="2"/>
    <w:pPr>
      <w:shd w:val="clear" w:color="auto" w:fill="ffffff"/>
      <w:spacing w:after="240"/>
    </w:pPr>
    <w:rPr>
      <w:rFonts w:ascii="Times New Roman" w:hAnsi="Times New Roman" w:eastAsia="Times New Roman" w:cs="Times New Roman"/>
      <w:sz w:val="19"/>
      <w:szCs w:val="19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4619</Characters>
  <CharactersWithSpaces>5419</CharactersWithSpaces>
  <Application>ONLYOFFICE/8.2.2.22</Application>
  <DocSecurity>0</DocSecurity>
  <Lines>38</Lines>
  <Paragraphs>10</Paragraphs>
  <ScaleCrop>0</ScaleCrop>
  <HeadingPairs>
    <vt:vector size="0" baseType="variant"/>
  </HeadingPairs>
  <TitlesOfParts>
    <vt:vector size="0" baseType="lpstr"/>
  </TitlesOfParts>
  <Company>Microsoft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2024-12-20T09:11:00Z</dcterms:created>
  <dcterms:modified xsi:type="dcterms:W3CDTF">2024-12-20T09:49:00Z</dcterms:modified>
</cp:coreProperties>
</file>