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</w:t>
      </w:r>
      <w:r>
        <w:rPr>
          <w:sz w:val="20"/>
          <w:szCs w:val="20"/>
        </w:rPr>
      </w:r>
    </w:p>
    <w:p>
      <w:pPr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запросу оферт в электронной форме</w:t>
      </w:r>
      <w:r>
        <w:rPr>
          <w:sz w:val="20"/>
          <w:szCs w:val="20"/>
        </w:rPr>
      </w:r>
    </w:p>
    <w:p>
      <w:pPr>
        <w:pBdr/>
        <w:spacing/>
        <w:ind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Техническое задание</w:t>
      </w:r>
      <w:r>
        <w:rPr>
          <w:b/>
          <w:bCs/>
          <w:sz w:val="20"/>
          <w:szCs w:val="20"/>
        </w:rPr>
      </w:r>
    </w:p>
    <w:p>
      <w:pPr>
        <w:pBdr/>
        <w:spacing/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spacing/>
        <w:ind w:left="709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</w:rPr>
        <w:t xml:space="preserve">1. Описание объекта закупки:</w:t>
      </w:r>
      <w:r>
        <w:rPr>
          <w:sz w:val="20"/>
          <w:szCs w:val="20"/>
        </w:rPr>
        <w:t xml:space="preserve"> Поставка </w:t>
      </w:r>
      <w:r>
        <w:rPr>
          <w:sz w:val="20"/>
          <w:szCs w:val="20"/>
        </w:rPr>
        <w:t xml:space="preserve">лакокрасочных</w:t>
      </w:r>
      <w:r>
        <w:rPr>
          <w:sz w:val="20"/>
          <w:szCs w:val="20"/>
        </w:rPr>
        <w:t xml:space="preserve"> материалов</w:t>
      </w:r>
      <w:r>
        <w:rPr>
          <w:sz w:val="20"/>
          <w:szCs w:val="20"/>
          <w:lang w:eastAsia="ar-SA"/>
        </w:rPr>
        <w:t xml:space="preserve">.</w:t>
      </w:r>
      <w:r>
        <w:rPr>
          <w:sz w:val="20"/>
          <w:szCs w:val="20"/>
          <w:lang w:eastAsia="ar-SA"/>
        </w:rPr>
      </w:r>
    </w:p>
    <w:p>
      <w:pPr>
        <w:pBdr/>
        <w:spacing/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Количество поставляемых товаров</w:t>
      </w:r>
      <w:r>
        <w:rPr>
          <w:sz w:val="20"/>
          <w:szCs w:val="20"/>
        </w:rPr>
        <w:t xml:space="preserve">: (см. приложение № 1 к техническому заданию);</w:t>
      </w:r>
      <w:r>
        <w:rPr>
          <w:sz w:val="20"/>
          <w:szCs w:val="20"/>
        </w:rPr>
      </w:r>
    </w:p>
    <w:p>
      <w:pPr>
        <w:widowControl w:val="false"/>
        <w:pBdr/>
        <w:spacing/>
        <w:ind w:left="709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</w:rPr>
        <w:t xml:space="preserve">3. Место поставки товаров:</w:t>
      </w:r>
      <w:r>
        <w:rPr>
          <w:sz w:val="20"/>
          <w:szCs w:val="20"/>
        </w:rPr>
        <w:t xml:space="preserve"> </w:t>
      </w:r>
      <w:r>
        <w:rPr>
          <w:iCs/>
          <w:sz w:val="20"/>
          <w:szCs w:val="20"/>
          <w:highlight w:val="yellow"/>
        </w:rPr>
        <w:t xml:space="preserve">357500, Ставропольский край, город Пятигорск, улица Карла Маркса, 14</w:t>
      </w:r>
      <w:r>
        <w:rPr>
          <w:sz w:val="20"/>
          <w:szCs w:val="20"/>
          <w:highlight w:val="yellow"/>
        </w:rPr>
        <w:t xml:space="preserve">;</w:t>
      </w:r>
      <w:r>
        <w:rPr>
          <w:sz w:val="20"/>
          <w:szCs w:val="20"/>
          <w:lang w:eastAsia="ar-SA"/>
        </w:rPr>
      </w:r>
    </w:p>
    <w:p>
      <w:pPr>
        <w:pBdr/>
        <w:spacing/>
        <w:ind w:left="709"/>
        <w:jc w:val="both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 xml:space="preserve">4. Сроки (периоды) поставки товаров: </w:t>
      </w:r>
      <w:r>
        <w:rPr>
          <w:bCs/>
          <w:iCs/>
          <w:sz w:val="20"/>
          <w:szCs w:val="20"/>
        </w:rPr>
        <w:t xml:space="preserve">С даты заключения договора до </w:t>
      </w:r>
      <w:r>
        <w:rPr>
          <w:bCs/>
          <w:iCs/>
          <w:sz w:val="20"/>
          <w:szCs w:val="20"/>
          <w:highlight w:val="yellow"/>
        </w:rPr>
        <w:t xml:space="preserve">"</w:t>
      </w:r>
      <w:r>
        <w:rPr>
          <w:bCs/>
          <w:iCs/>
          <w:sz w:val="20"/>
          <w:szCs w:val="20"/>
          <w:highlight w:val="yellow"/>
        </w:rPr>
        <w:t xml:space="preserve">30" </w:t>
      </w:r>
      <w:r>
        <w:rPr>
          <w:bCs/>
          <w:iCs/>
          <w:sz w:val="20"/>
          <w:szCs w:val="20"/>
          <w:highlight w:val="yellow"/>
        </w:rPr>
        <w:t xml:space="preserve">апреля </w:t>
      </w:r>
      <w:r>
        <w:rPr>
          <w:bCs/>
          <w:iCs/>
          <w:sz w:val="20"/>
          <w:szCs w:val="20"/>
          <w:highlight w:val="yellow"/>
          <w:shd w:val="clear" w:color="auto" w:fill="acb9ca" w:themeFill="text2" w:themeFillTint="66"/>
        </w:rPr>
        <w:t xml:space="preserve">2025</w:t>
      </w:r>
      <w:r>
        <w:rPr>
          <w:bCs/>
          <w:iCs/>
          <w:sz w:val="20"/>
          <w:szCs w:val="20"/>
          <w:highlight w:val="yellow"/>
        </w:rPr>
        <w:t xml:space="preserve"> г</w:t>
      </w:r>
      <w:r>
        <w:rPr>
          <w:bCs/>
          <w:iCs/>
          <w:sz w:val="20"/>
          <w:szCs w:val="20"/>
        </w:rPr>
        <w:t xml:space="preserve">.;</w:t>
      </w:r>
      <w:r>
        <w:rPr>
          <w:bCs/>
          <w:iCs/>
          <w:sz w:val="20"/>
          <w:szCs w:val="20"/>
        </w:rPr>
      </w:r>
    </w:p>
    <w:p>
      <w:pPr>
        <w:pBdr/>
        <w:spacing/>
        <w:ind w:left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Источник финансирования: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собственные средства учреждения</w:t>
      </w:r>
      <w:r>
        <w:rPr>
          <w:sz w:val="20"/>
          <w:szCs w:val="20"/>
        </w:rPr>
      </w:r>
    </w:p>
    <w:p>
      <w:pPr>
        <w:widowControl w:val="false"/>
        <w:pBdr/>
        <w:tabs>
          <w:tab w:val="left" w:leader="none" w:pos="-2520"/>
        </w:tabs>
        <w:spacing/>
        <w:ind w:left="709"/>
        <w:jc w:val="both"/>
        <w:outlineLvl w:val="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Форма, сроки и порядок оплаты товаров: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 безналичной форме по факту поставки в течение 7 рабочих дней на основании товарной накладной (или УПД) и счета-фактуры;</w:t>
      </w:r>
      <w:r>
        <w:rPr>
          <w:b/>
          <w:bCs/>
          <w:sz w:val="20"/>
          <w:szCs w:val="20"/>
        </w:rPr>
      </w:r>
    </w:p>
    <w:p>
      <w:pPr>
        <w:pBdr/>
        <w:spacing/>
        <w:ind w:left="709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 Виды поставляемых товаров: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Лакокрасочные </w:t>
      </w:r>
      <w:r>
        <w:rPr>
          <w:sz w:val="20"/>
          <w:szCs w:val="20"/>
        </w:rPr>
        <w:t xml:space="preserve">материалы</w:t>
      </w:r>
      <w:r>
        <w:rPr>
          <w:sz w:val="20"/>
          <w:szCs w:val="20"/>
          <w:lang w:eastAsia="ar-SA"/>
        </w:rPr>
        <w:t xml:space="preserve">.</w:t>
      </w:r>
      <w:r>
        <w:rPr>
          <w:bCs/>
          <w:sz w:val="20"/>
          <w:szCs w:val="20"/>
        </w:rPr>
      </w:r>
    </w:p>
    <w:p>
      <w:pPr>
        <w:widowControl w:val="false"/>
        <w:pBdr/>
        <w:spacing/>
        <w:ind w:left="709"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</w:rPr>
        <w:t xml:space="preserve">8. Условия поставки товаров:</w:t>
      </w:r>
      <w:r>
        <w:rPr>
          <w:sz w:val="20"/>
          <w:szCs w:val="20"/>
        </w:rPr>
        <w:t xml:space="preserve"> Доставка, разгрузка товара по адресу: </w:t>
      </w:r>
      <w:r>
        <w:rPr>
          <w:iCs/>
          <w:sz w:val="20"/>
          <w:szCs w:val="20"/>
        </w:rPr>
        <w:t xml:space="preserve">357500, Ставропольский край, город Пятигорск, улица Карла Маркса, 14</w:t>
      </w:r>
      <w:r>
        <w:rPr>
          <w:sz w:val="20"/>
          <w:szCs w:val="20"/>
        </w:rPr>
        <w:t xml:space="preserve">, осуществляется силами и за счет Поставщика;</w:t>
      </w:r>
      <w:r>
        <w:rPr>
          <w:sz w:val="20"/>
          <w:szCs w:val="20"/>
          <w:lang w:eastAsia="ar-SA"/>
        </w:rPr>
      </w:r>
    </w:p>
    <w:p>
      <w:pPr>
        <w:pBdr/>
        <w:spacing/>
        <w:ind w:left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Общие требования</w:t>
      </w:r>
      <w:r>
        <w:rPr>
          <w:b/>
          <w:bCs/>
          <w:sz w:val="20"/>
          <w:szCs w:val="20"/>
        </w:rPr>
        <w:t xml:space="preserve"> к товарам:</w:t>
      </w:r>
      <w:r>
        <w:rPr>
          <w:sz w:val="20"/>
          <w:szCs w:val="20"/>
        </w:rPr>
        <w:t xml:space="preserve"> Упаковка должна обеспечивать сохранность товара при его транспортировке и хранени</w:t>
      </w:r>
      <w:r>
        <w:rPr>
          <w:sz w:val="20"/>
          <w:szCs w:val="20"/>
        </w:rPr>
        <w:t xml:space="preserve">и. Качество товара должно соответствовать действующим в Российской Федерации стандартам, техническим условиям и иным установленным требованиям к подобному виду и подтверждаться соответствующими документами. Поставляемый товар должен соответствовать требова</w:t>
      </w:r>
      <w:r>
        <w:rPr>
          <w:sz w:val="20"/>
          <w:szCs w:val="20"/>
        </w:rPr>
        <w:t xml:space="preserve">ниям технического задания. Товар не должен иметь скрытых и внешних повреждений и дефектов, в том числе не влияющих на возможность использования товара по назначению. Доставка и разгрузка продукции осуществляется на склад Заказчика и входит в цену договора;</w:t>
      </w:r>
      <w:r>
        <w:rPr>
          <w:sz w:val="20"/>
          <w:szCs w:val="20"/>
        </w:rPr>
      </w:r>
    </w:p>
    <w:p>
      <w:pPr>
        <w:pBdr/>
        <w:spacing w:after="60"/>
        <w:ind w:left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 Требования к качеству товаров, качественным (потребительским) свойствам товаров: </w:t>
      </w:r>
      <w:r>
        <w:rPr>
          <w:sz w:val="20"/>
          <w:szCs w:val="20"/>
        </w:rPr>
        <w:t xml:space="preserve">Качество постав</w:t>
      </w:r>
      <w:r>
        <w:rPr>
          <w:sz w:val="20"/>
          <w:szCs w:val="20"/>
        </w:rPr>
        <w:t xml:space="preserve">ляемой продукции должно соответствовать техническим условиям, стандартам и требованиям, предъявляемым к качеству, комплектности, стандартам, техническим условиям и характеристикам, установленным изготовителем, иным обычно предъявляемым требованиям ГОСТов. </w:t>
      </w:r>
      <w:r>
        <w:rPr>
          <w:sz w:val="20"/>
          <w:szCs w:val="20"/>
        </w:rPr>
        <w:t xml:space="preserve">Согласно установленным нормам к данному виду продукции иметь сертификаты качества и соответствия, санитарно- эпидемиологическое заключение и иные разрешительные документы. Документы, подтверждающие качество продукции, представляются Заказчику при поставке;</w:t>
      </w:r>
      <w:r>
        <w:rPr>
          <w:sz w:val="20"/>
          <w:szCs w:val="20"/>
        </w:rPr>
      </w:r>
    </w:p>
    <w:p>
      <w:pPr>
        <w:pBdr/>
        <w:spacing/>
        <w:ind w:left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11. Требования по передаче заказчику комплекта расходных материалов для первичной эксплуатации товара: н</w:t>
      </w:r>
      <w:r>
        <w:rPr>
          <w:sz w:val="20"/>
          <w:szCs w:val="20"/>
        </w:rPr>
        <w:t xml:space="preserve">е требуется</w:t>
      </w:r>
      <w:r>
        <w:rPr>
          <w:sz w:val="20"/>
          <w:szCs w:val="20"/>
        </w:rPr>
      </w:r>
    </w:p>
    <w:p>
      <w:pPr>
        <w:pBdr/>
        <w:tabs>
          <w:tab w:val="left" w:leader="none" w:pos="360"/>
        </w:tabs>
        <w:spacing/>
        <w:ind w:left="709"/>
        <w:jc w:val="both"/>
        <w:outlineLvl w:val="4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12.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Требования к безопасности товаров:</w:t>
      </w:r>
      <w:r>
        <w:rPr>
          <w:sz w:val="20"/>
          <w:szCs w:val="20"/>
        </w:rPr>
        <w:t xml:space="preserve"> в соответствии с требованиями действующего законодательства РФ и иных нормативных правовых актов;</w:t>
      </w:r>
      <w:r>
        <w:rPr>
          <w:color w:val="ff0000"/>
          <w:sz w:val="20"/>
          <w:szCs w:val="20"/>
        </w:rPr>
      </w:r>
    </w:p>
    <w:p>
      <w:pPr>
        <w:pBdr/>
        <w:tabs>
          <w:tab w:val="left" w:leader="none" w:pos="360"/>
        </w:tabs>
        <w:spacing/>
        <w:ind w:left="709"/>
        <w:jc w:val="both"/>
        <w:outlineLvl w:val="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13. Порядок сдачи и приемки товаров</w:t>
      </w:r>
      <w:r>
        <w:rPr>
          <w:sz w:val="20"/>
          <w:szCs w:val="20"/>
        </w:rPr>
        <w:t xml:space="preserve">: Приемка осуществляется заказчиком или его представителем по количеству, комплектности, осмотром товара на отсутствие внешних дефектов;</w:t>
      </w:r>
      <w:r>
        <w:rPr>
          <w:sz w:val="20"/>
          <w:szCs w:val="20"/>
        </w:rPr>
      </w:r>
    </w:p>
    <w:p>
      <w:pPr>
        <w:pBdr/>
        <w:tabs>
          <w:tab w:val="left" w:leader="none" w:pos="0"/>
          <w:tab w:val="left" w:leader="none" w:pos="480"/>
        </w:tabs>
        <w:spacing/>
        <w:ind w:left="709"/>
        <w:jc w:val="both"/>
        <w:outlineLvl w:val="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14. Требования по объему гарантий качества товаров: </w:t>
      </w:r>
      <w:r>
        <w:rPr>
          <w:sz w:val="20"/>
          <w:szCs w:val="20"/>
        </w:rPr>
        <w:t xml:space="preserve">100%;</w:t>
      </w:r>
      <w:r>
        <w:rPr>
          <w:sz w:val="20"/>
          <w:szCs w:val="20"/>
        </w:rPr>
      </w:r>
    </w:p>
    <w:p>
      <w:pPr>
        <w:pBdr/>
        <w:spacing/>
        <w:ind w:left="709"/>
        <w:jc w:val="both"/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 xml:space="preserve">15.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Требования по сроку гарантии товара:</w:t>
      </w:r>
      <w:r>
        <w:rPr>
          <w:sz w:val="20"/>
          <w:szCs w:val="20"/>
        </w:rPr>
        <w:t xml:space="preserve"> не менее 12 месяцев на момент поставки.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</w:r>
    </w:p>
    <w:p>
      <w:pPr>
        <w:pBdr/>
        <w:spacing/>
        <w:ind w:left="709"/>
        <w:jc w:val="both"/>
        <w:rPr>
          <w:sz w:val="20"/>
          <w:szCs w:val="20"/>
        </w:rPr>
      </w:pPr>
      <w:r>
        <w:rPr>
          <w:b/>
          <w:iCs/>
          <w:sz w:val="20"/>
          <w:szCs w:val="20"/>
        </w:rPr>
        <w:t xml:space="preserve">16.</w:t>
      </w:r>
      <w:r>
        <w:rPr>
          <w:i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Иные требования к товарам по усмотрению заказчика:</w:t>
      </w:r>
      <w:r>
        <w:rPr>
          <w:sz w:val="20"/>
          <w:szCs w:val="20"/>
        </w:rPr>
        <w:t xml:space="preserve"> Риск случайной гибели или случайного повреждения товара до его приемки Заказчиком несет Поставщик.</w:t>
      </w:r>
      <w:r>
        <w:rPr>
          <w:sz w:val="20"/>
          <w:szCs w:val="20"/>
        </w:rPr>
      </w:r>
    </w:p>
    <w:p>
      <w:pPr>
        <w:pBdr/>
        <w:spacing/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</w:t>
      </w:r>
      <w:r>
        <w:rPr>
          <w:sz w:val="20"/>
          <w:szCs w:val="20"/>
        </w:rPr>
      </w:r>
    </w:p>
    <w:p>
      <w:pPr>
        <w:pBdr/>
        <w:spacing/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923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709"/>
        <w:gridCol w:w="567"/>
      </w:tblGrid>
      <w:tr>
        <w:trPr>
          <w:trHeight w:val="230"/>
        </w:trPr>
        <w:tc>
          <w:tcPr>
            <w:shd w:val="clear" w:color="auto" w:fill="auto"/>
            <w:tcBorders/>
            <w:tcW w:w="708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color w:val="000000" w:themeColor="text1"/>
                <w:sz w:val="20"/>
                <w:szCs w:val="20"/>
              </w:rPr>
              <w:t xml:space="preserve">пп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939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Ед. изм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67" w:type="dxa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Кол-во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88"/>
        </w:trPr>
        <w:tc>
          <w:tcPr>
            <w:shd w:val="clear" w:color="auto" w:fill="auto"/>
            <w:tcBorders/>
            <w:tcW w:w="708" w:type="dxa"/>
            <w:textDirection w:val="lrTb"/>
            <w:noWrap/>
          </w:tcPr>
          <w:p>
            <w:pPr>
              <w:pStyle w:val="852"/>
              <w:numPr>
                <w:ilvl w:val="0"/>
                <w:numId w:val="1"/>
              </w:numPr>
              <w:pBdr/>
              <w:spacing/>
              <w:ind w:firstLine="183"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39" w:type="dxa"/>
            <w:textDirection w:val="lrTb"/>
            <w:noWrap/>
          </w:tcPr>
          <w:p>
            <w:pPr>
              <w:pBdr/>
              <w:spacing/>
              <w:ind w:right="62" w:firstLine="5"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Глубоко-матовая интерьерная краска акрил, </w:t>
            </w:r>
            <w:r>
              <w:rPr>
                <w:sz w:val="20"/>
                <w:szCs w:val="20"/>
              </w:rPr>
              <w:t xml:space="preserve">моющ</w:t>
            </w:r>
            <w:r>
              <w:rPr>
                <w:sz w:val="20"/>
                <w:szCs w:val="20"/>
              </w:rPr>
              <w:t xml:space="preserve">.(для б/воз нанес.)без стоимости колеровки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8"/>
        </w:trPr>
        <w:tc>
          <w:tcPr>
            <w:shd w:val="clear" w:color="auto" w:fill="auto"/>
            <w:tcBorders/>
            <w:tcW w:w="708" w:type="dxa"/>
            <w:textDirection w:val="lrTb"/>
            <w:noWrap/>
          </w:tcPr>
          <w:p>
            <w:pPr>
              <w:pStyle w:val="852"/>
              <w:numPr>
                <w:ilvl w:val="0"/>
                <w:numId w:val="1"/>
              </w:numPr>
              <w:pBdr/>
              <w:spacing/>
              <w:ind w:firstLine="183"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39" w:type="dxa"/>
            <w:textDirection w:val="lrTb"/>
            <w:noWrap/>
          </w:tcPr>
          <w:p>
            <w:pPr>
              <w:pBdr/>
              <w:spacing/>
              <w:ind w:right="14" w:firstLine="5"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Глубоко-матовая интерьерная краска, акрил, </w:t>
            </w:r>
            <w:r>
              <w:rPr>
                <w:sz w:val="20"/>
                <w:szCs w:val="20"/>
              </w:rPr>
              <w:t xml:space="preserve">моющ</w:t>
            </w:r>
            <w:r>
              <w:rPr>
                <w:sz w:val="20"/>
                <w:szCs w:val="20"/>
              </w:rPr>
              <w:t xml:space="preserve">. (для б/воз нанес.) без стоимости колеровки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8"/>
        </w:trPr>
        <w:tc>
          <w:tcPr>
            <w:shd w:val="clear" w:color="auto" w:fill="auto"/>
            <w:tcBorders/>
            <w:tcW w:w="708" w:type="dxa"/>
            <w:textDirection w:val="lrTb"/>
            <w:noWrap/>
          </w:tcPr>
          <w:p>
            <w:pPr>
              <w:pStyle w:val="852"/>
              <w:numPr>
                <w:ilvl w:val="0"/>
                <w:numId w:val="1"/>
              </w:numPr>
              <w:pBdr/>
              <w:spacing/>
              <w:ind w:firstLine="183"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39" w:type="dxa"/>
            <w:textDirection w:val="lrTb"/>
            <w:noWrap/>
          </w:tcPr>
          <w:p>
            <w:pPr>
              <w:pBdr/>
              <w:spacing/>
              <w:ind w:right="221"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Матовая интерьерная краска, акрил, </w:t>
            </w:r>
            <w:r>
              <w:rPr>
                <w:sz w:val="20"/>
                <w:szCs w:val="20"/>
              </w:rPr>
              <w:t xml:space="preserve">моющ</w:t>
            </w:r>
            <w:r>
              <w:rPr>
                <w:sz w:val="20"/>
                <w:szCs w:val="20"/>
              </w:rPr>
              <w:t xml:space="preserve">. (для б/воз нанес.) без стоимости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hanging="5"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колеровки. для влажных помещений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8"/>
        </w:trPr>
        <w:tc>
          <w:tcPr>
            <w:shd w:val="clear" w:color="auto" w:fill="auto"/>
            <w:tcBorders/>
            <w:tcW w:w="708" w:type="dxa"/>
            <w:textDirection w:val="lrTb"/>
            <w:noWrap/>
          </w:tcPr>
          <w:p>
            <w:pPr>
              <w:pStyle w:val="852"/>
              <w:numPr>
                <w:ilvl w:val="0"/>
                <w:numId w:val="1"/>
              </w:numPr>
              <w:pBdr/>
              <w:spacing/>
              <w:ind w:firstLine="183"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39" w:type="dxa"/>
            <w:textDirection w:val="lrTb"/>
            <w:noWrap/>
          </w:tcPr>
          <w:p>
            <w:pPr>
              <w:pBdr/>
              <w:spacing/>
              <w:ind w:right="166" w:firstLine="14"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Интерьерная -дизайнерская краска матовая (степень блеска — 7%) 100%-акриловая, устойчивая к мытью и истиранию, с высокой </w:t>
            </w:r>
            <w:r>
              <w:rPr>
                <w:sz w:val="20"/>
                <w:szCs w:val="20"/>
              </w:rPr>
              <w:t xml:space="preserve">укрывистостью</w:t>
            </w:r>
            <w:r>
              <w:rPr>
                <w:sz w:val="20"/>
                <w:szCs w:val="20"/>
              </w:rPr>
              <w:t xml:space="preserve">. Имеет 1 класс истирания (для 6/в нанесения). Без стоимости колеровки. Цвет подбор по проекту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8"/>
        </w:trPr>
        <w:tc>
          <w:tcPr>
            <w:shd w:val="clear" w:color="auto" w:fill="auto"/>
            <w:tcBorders/>
            <w:tcW w:w="708" w:type="dxa"/>
            <w:textDirection w:val="lrTb"/>
            <w:noWrap/>
          </w:tcPr>
          <w:p>
            <w:pPr>
              <w:pStyle w:val="852"/>
              <w:numPr>
                <w:ilvl w:val="0"/>
                <w:numId w:val="1"/>
              </w:numPr>
              <w:pBdr/>
              <w:spacing/>
              <w:ind w:firstLine="183"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39" w:type="dxa"/>
            <w:textDirection w:val="lrTb"/>
            <w:noWrap/>
          </w:tcPr>
          <w:p>
            <w:pPr>
              <w:pBdr/>
              <w:spacing/>
              <w:ind w:right="171" w:firstLine="14"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Интерьерная -дизайнерская краска матовая (степень блеска — 7%) 100%-акриловая, устойчивая к мытью и истиранию, с высокой </w:t>
            </w:r>
            <w:r>
              <w:rPr>
                <w:sz w:val="20"/>
                <w:szCs w:val="20"/>
              </w:rPr>
              <w:t xml:space="preserve">укрывистостью</w:t>
            </w:r>
            <w:r>
              <w:rPr>
                <w:sz w:val="20"/>
                <w:szCs w:val="20"/>
              </w:rPr>
              <w:t xml:space="preserve">. Имеет 1 класс истирания (для 6/в нанесения). Без стоимости колеровки. Цвет подбор по проекту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8"/>
        </w:trPr>
        <w:tc>
          <w:tcPr>
            <w:shd w:val="clear" w:color="auto" w:fill="auto"/>
            <w:tcBorders/>
            <w:tcW w:w="708" w:type="dxa"/>
            <w:textDirection w:val="lrTb"/>
            <w:noWrap/>
          </w:tcPr>
          <w:p>
            <w:pPr>
              <w:pStyle w:val="852"/>
              <w:numPr>
                <w:ilvl w:val="0"/>
                <w:numId w:val="1"/>
              </w:numPr>
              <w:pBdr/>
              <w:spacing/>
              <w:ind w:firstLine="183"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39" w:type="dxa"/>
            <w:textDirection w:val="lrTb"/>
            <w:noWrap/>
          </w:tcPr>
          <w:p>
            <w:pPr>
              <w:pBdr/>
              <w:spacing/>
              <w:ind w:right="171" w:firstLine="14"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Интерьерная -дизайнерская краска матовая (степень блеска — 7%) 100%-акриловая, устойчивая к мытью и истиранию, с высокой </w:t>
            </w:r>
            <w:r>
              <w:rPr>
                <w:sz w:val="20"/>
                <w:szCs w:val="20"/>
              </w:rPr>
              <w:t xml:space="preserve">укрывистостью</w:t>
            </w:r>
            <w:r>
              <w:rPr>
                <w:sz w:val="20"/>
                <w:szCs w:val="20"/>
              </w:rPr>
              <w:t xml:space="preserve">. Имеет 1 класс истирания (для 6/в нанесения). Без стоимости колеровки. Цвет подбор по проекту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8"/>
        </w:trPr>
        <w:tc>
          <w:tcPr>
            <w:shd w:val="clear" w:color="auto" w:fill="auto"/>
            <w:tcBorders/>
            <w:tcW w:w="708" w:type="dxa"/>
            <w:textDirection w:val="lrTb"/>
            <w:noWrap/>
          </w:tcPr>
          <w:p>
            <w:pPr>
              <w:pStyle w:val="852"/>
              <w:numPr>
                <w:ilvl w:val="0"/>
                <w:numId w:val="1"/>
              </w:numPr>
              <w:pBdr/>
              <w:spacing/>
              <w:ind w:firstLine="183"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39" w:type="dxa"/>
            <w:textDirection w:val="lrTb"/>
            <w:noWrap/>
          </w:tcPr>
          <w:p>
            <w:pPr>
              <w:pBdr/>
              <w:spacing/>
              <w:ind w:right="233" w:firstLine="14"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Интерьерная -дизайнерская краска матовая (степень блеска — 7%) 100%-акриловая Устойчивая к мытью и истиранию, с высокой </w:t>
            </w:r>
            <w:r>
              <w:rPr>
                <w:sz w:val="20"/>
                <w:szCs w:val="20"/>
              </w:rPr>
              <w:t xml:space="preserve">укрывистостью</w:t>
            </w:r>
            <w:r>
              <w:rPr>
                <w:sz w:val="20"/>
                <w:szCs w:val="20"/>
              </w:rPr>
              <w:t xml:space="preserve">. Имеет 1 класс истирания (для 6/в нанесения). Без стоимости колеровки. Цвет подбор по проекту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13,5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Bdr/>
        <w:spacing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6838" w:orient="portrait" w:w="11906"/>
      <w:pgMar w:top="426" w:right="850" w:bottom="568" w:left="426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08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7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7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7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7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8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08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08"/>
    <w:link w:val="85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08"/>
    <w:link w:val="863"/>
    <w:uiPriority w:val="99"/>
    <w:pPr>
      <w:pBdr/>
      <w:spacing/>
      <w:ind/>
    </w:pPr>
  </w:style>
  <w:style w:type="character" w:styleId="178">
    <w:name w:val="Footer Char"/>
    <w:basedOn w:val="708"/>
    <w:link w:val="865"/>
    <w:uiPriority w:val="99"/>
    <w:pPr>
      <w:pBdr/>
      <w:spacing/>
      <w:ind/>
    </w:pPr>
  </w:style>
  <w:style w:type="character" w:styleId="181">
    <w:name w:val="Footnote Text Char"/>
    <w:basedOn w:val="708"/>
    <w:link w:val="86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08"/>
    <w:link w:val="871"/>
    <w:uiPriority w:val="99"/>
    <w:semiHidden/>
    <w:pPr>
      <w:pBdr/>
      <w:spacing/>
      <w:ind/>
    </w:pPr>
    <w:rPr>
      <w:sz w:val="20"/>
      <w:szCs w:val="20"/>
    </w:rPr>
  </w:style>
  <w:style w:type="paragraph" w:styleId="698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9">
    <w:name w:val="Heading 1"/>
    <w:basedOn w:val="698"/>
    <w:next w:val="698"/>
    <w:link w:val="8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00">
    <w:name w:val="Heading 2"/>
    <w:basedOn w:val="698"/>
    <w:next w:val="698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01">
    <w:name w:val="Heading 3"/>
    <w:basedOn w:val="698"/>
    <w:next w:val="698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02">
    <w:name w:val="Heading 4"/>
    <w:basedOn w:val="698"/>
    <w:next w:val="698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03">
    <w:name w:val="Heading 5"/>
    <w:basedOn w:val="698"/>
    <w:next w:val="698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04">
    <w:name w:val="Heading 6"/>
    <w:basedOn w:val="698"/>
    <w:next w:val="698"/>
    <w:link w:val="842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05">
    <w:name w:val="Heading 7"/>
    <w:basedOn w:val="698"/>
    <w:next w:val="698"/>
    <w:link w:val="843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06">
    <w:name w:val="Heading 8"/>
    <w:basedOn w:val="698"/>
    <w:next w:val="698"/>
    <w:link w:val="844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07">
    <w:name w:val="Heading 9"/>
    <w:basedOn w:val="698"/>
    <w:next w:val="698"/>
    <w:link w:val="845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table" w:styleId="711">
    <w:name w:val="Table Grid"/>
    <w:basedOn w:val="7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Table Grid Light"/>
    <w:basedOn w:val="7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1"/>
    <w:basedOn w:val="7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7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1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2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3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4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5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6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 w:customStyle="1">
    <w:name w:val="Заголовок 1 Знак"/>
    <w:basedOn w:val="708"/>
    <w:link w:val="6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38" w:customStyle="1">
    <w:name w:val="Заголовок 2 Знак"/>
    <w:basedOn w:val="708"/>
    <w:link w:val="7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39" w:customStyle="1">
    <w:name w:val="Заголовок 3 Знак"/>
    <w:basedOn w:val="708"/>
    <w:link w:val="7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40" w:customStyle="1">
    <w:name w:val="Заголовок 4 Знак"/>
    <w:basedOn w:val="708"/>
    <w:link w:val="7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41" w:customStyle="1">
    <w:name w:val="Заголовок 5 Знак"/>
    <w:basedOn w:val="708"/>
    <w:link w:val="7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42" w:customStyle="1">
    <w:name w:val="Заголовок 6 Знак"/>
    <w:basedOn w:val="708"/>
    <w:link w:val="7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 w:customStyle="1">
    <w:name w:val="Заголовок 7 Знак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 w:customStyle="1">
    <w:name w:val="Заголовок 8 Знак"/>
    <w:basedOn w:val="708"/>
    <w:link w:val="7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customStyle="1">
    <w:name w:val="Заголовок 9 Знак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698"/>
    <w:next w:val="698"/>
    <w:link w:val="847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 w:customStyle="1">
    <w:name w:val="Заголовок Знак"/>
    <w:basedOn w:val="708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698"/>
    <w:next w:val="698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 w:customStyle="1">
    <w:name w:val="Подзаголовок Знак"/>
    <w:basedOn w:val="708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698"/>
    <w:next w:val="698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 w:customStyle="1">
    <w:name w:val="Цитата 2 Знак"/>
    <w:basedOn w:val="708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2">
    <w:name w:val="List Paragraph"/>
    <w:basedOn w:val="698"/>
    <w:uiPriority w:val="34"/>
    <w:qFormat/>
    <w:pPr>
      <w:pBdr/>
      <w:spacing/>
      <w:ind w:left="720"/>
      <w:contextualSpacing w:val="true"/>
    </w:pPr>
  </w:style>
  <w:style w:type="character" w:styleId="853">
    <w:name w:val="Intense Emphasis"/>
    <w:basedOn w:val="7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54">
    <w:name w:val="Intense Quote"/>
    <w:basedOn w:val="698"/>
    <w:next w:val="698"/>
    <w:link w:val="855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55" w:customStyle="1">
    <w:name w:val="Выделенная цитата Знак"/>
    <w:basedOn w:val="708"/>
    <w:link w:val="854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56">
    <w:name w:val="Intense Reference"/>
    <w:basedOn w:val="7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paragraph" w:styleId="857">
    <w:name w:val="No Spacing"/>
    <w:basedOn w:val="698"/>
    <w:uiPriority w:val="1"/>
    <w:qFormat/>
    <w:pPr>
      <w:pBdr/>
      <w:spacing/>
      <w:ind/>
    </w:pPr>
  </w:style>
  <w:style w:type="character" w:styleId="858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9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860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861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2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3">
    <w:name w:val="Header"/>
    <w:basedOn w:val="698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4" w:customStyle="1">
    <w:name w:val="Верхний колонтитул Знак"/>
    <w:basedOn w:val="708"/>
    <w:link w:val="863"/>
    <w:uiPriority w:val="99"/>
    <w:pPr>
      <w:pBdr/>
      <w:spacing/>
      <w:ind/>
    </w:pPr>
  </w:style>
  <w:style w:type="paragraph" w:styleId="865">
    <w:name w:val="Footer"/>
    <w:basedOn w:val="698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6" w:customStyle="1">
    <w:name w:val="Нижний колонтитул Знак"/>
    <w:basedOn w:val="708"/>
    <w:link w:val="865"/>
    <w:uiPriority w:val="99"/>
    <w:pPr>
      <w:pBdr/>
      <w:spacing/>
      <w:ind/>
    </w:pPr>
  </w:style>
  <w:style w:type="paragraph" w:styleId="867">
    <w:name w:val="Caption"/>
    <w:basedOn w:val="698"/>
    <w:next w:val="698"/>
    <w:uiPriority w:val="35"/>
    <w:unhideWhenUsed/>
    <w:qFormat/>
    <w:pPr>
      <w:pBdr/>
      <w:spacing w:after="200"/>
      <w:ind/>
    </w:pPr>
    <w:rPr>
      <w:i/>
      <w:iCs/>
      <w:color w:val="44546a" w:themeColor="text2"/>
      <w:sz w:val="18"/>
      <w:szCs w:val="18"/>
    </w:rPr>
  </w:style>
  <w:style w:type="paragraph" w:styleId="868">
    <w:name w:val="footnote text"/>
    <w:basedOn w:val="698"/>
    <w:link w:val="869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69" w:customStyle="1">
    <w:name w:val="Текст сноски Знак"/>
    <w:basedOn w:val="708"/>
    <w:link w:val="868"/>
    <w:uiPriority w:val="99"/>
    <w:semiHidden/>
    <w:pPr>
      <w:pBdr/>
      <w:spacing/>
      <w:ind/>
    </w:pPr>
    <w:rPr>
      <w:sz w:val="20"/>
      <w:szCs w:val="20"/>
    </w:rPr>
  </w:style>
  <w:style w:type="character" w:styleId="870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871">
    <w:name w:val="endnote text"/>
    <w:basedOn w:val="698"/>
    <w:link w:val="872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72" w:customStyle="1">
    <w:name w:val="Текст концевой сноски Знак"/>
    <w:basedOn w:val="708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874">
    <w:name w:val="Hyperlink"/>
    <w:basedOn w:val="7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5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6">
    <w:name w:val="toc 1"/>
    <w:basedOn w:val="698"/>
    <w:next w:val="698"/>
    <w:uiPriority w:val="39"/>
    <w:unhideWhenUsed/>
    <w:pPr>
      <w:pBdr/>
      <w:spacing w:after="100"/>
      <w:ind/>
    </w:pPr>
  </w:style>
  <w:style w:type="paragraph" w:styleId="877">
    <w:name w:val="toc 2"/>
    <w:basedOn w:val="698"/>
    <w:next w:val="698"/>
    <w:uiPriority w:val="39"/>
    <w:unhideWhenUsed/>
    <w:pPr>
      <w:pBdr/>
      <w:spacing w:after="100"/>
      <w:ind w:left="220"/>
    </w:pPr>
  </w:style>
  <w:style w:type="paragraph" w:styleId="878">
    <w:name w:val="toc 3"/>
    <w:basedOn w:val="698"/>
    <w:next w:val="698"/>
    <w:uiPriority w:val="39"/>
    <w:unhideWhenUsed/>
    <w:pPr>
      <w:pBdr/>
      <w:spacing w:after="100"/>
      <w:ind w:left="440"/>
    </w:pPr>
  </w:style>
  <w:style w:type="paragraph" w:styleId="879">
    <w:name w:val="toc 4"/>
    <w:basedOn w:val="698"/>
    <w:next w:val="698"/>
    <w:uiPriority w:val="39"/>
    <w:unhideWhenUsed/>
    <w:pPr>
      <w:pBdr/>
      <w:spacing w:after="100"/>
      <w:ind w:left="660"/>
    </w:pPr>
  </w:style>
  <w:style w:type="paragraph" w:styleId="880">
    <w:name w:val="toc 5"/>
    <w:basedOn w:val="698"/>
    <w:next w:val="698"/>
    <w:uiPriority w:val="39"/>
    <w:unhideWhenUsed/>
    <w:pPr>
      <w:pBdr/>
      <w:spacing w:after="100"/>
      <w:ind w:left="880"/>
    </w:pPr>
  </w:style>
  <w:style w:type="paragraph" w:styleId="881">
    <w:name w:val="toc 6"/>
    <w:basedOn w:val="698"/>
    <w:next w:val="698"/>
    <w:uiPriority w:val="39"/>
    <w:unhideWhenUsed/>
    <w:pPr>
      <w:pBdr/>
      <w:spacing w:after="100"/>
      <w:ind w:left="1100"/>
    </w:pPr>
  </w:style>
  <w:style w:type="paragraph" w:styleId="882">
    <w:name w:val="toc 7"/>
    <w:basedOn w:val="698"/>
    <w:next w:val="698"/>
    <w:uiPriority w:val="39"/>
    <w:unhideWhenUsed/>
    <w:pPr>
      <w:pBdr/>
      <w:spacing w:after="100"/>
      <w:ind w:left="1320"/>
    </w:pPr>
  </w:style>
  <w:style w:type="paragraph" w:styleId="883">
    <w:name w:val="toc 8"/>
    <w:basedOn w:val="698"/>
    <w:next w:val="698"/>
    <w:uiPriority w:val="39"/>
    <w:unhideWhenUsed/>
    <w:pPr>
      <w:pBdr/>
      <w:spacing w:after="100"/>
      <w:ind w:left="1540"/>
    </w:pPr>
  </w:style>
  <w:style w:type="paragraph" w:styleId="884">
    <w:name w:val="toc 9"/>
    <w:basedOn w:val="698"/>
    <w:next w:val="698"/>
    <w:uiPriority w:val="39"/>
    <w:unhideWhenUsed/>
    <w:pPr>
      <w:pBdr/>
      <w:spacing w:after="100"/>
      <w:ind w:left="1760"/>
    </w:pPr>
  </w:style>
  <w:style w:type="paragraph" w:styleId="885">
    <w:name w:val="TOC Heading"/>
    <w:uiPriority w:val="39"/>
    <w:unhideWhenUsed/>
    <w:pPr>
      <w:pBdr/>
      <w:spacing/>
      <w:ind/>
    </w:pPr>
  </w:style>
  <w:style w:type="paragraph" w:styleId="886">
    <w:name w:val="table of figures"/>
    <w:basedOn w:val="698"/>
    <w:next w:val="698"/>
    <w:uiPriority w:val="99"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Solodovnikov</dc:creator>
  <cp:keywords/>
  <dc:description/>
  <cp:revision>9</cp:revision>
  <dcterms:created xsi:type="dcterms:W3CDTF">2025-02-23T09:38:00Z</dcterms:created>
  <dcterms:modified xsi:type="dcterms:W3CDTF">2025-03-25T10:36:04Z</dcterms:modified>
</cp:coreProperties>
</file>