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9923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УТВЕРЖ</w:t>
      </w:r>
      <w:r>
        <w:rPr>
          <w:rFonts w:eastAsia="Calibri"/>
        </w:rPr>
        <w:t xml:space="preserve">Д</w:t>
      </w:r>
      <w:r>
        <w:rPr>
          <w:rFonts w:eastAsia="Calibri"/>
        </w:rPr>
        <w:t xml:space="preserve">АЮ</w:t>
      </w:r>
      <w:r>
        <w:rPr>
          <w:rFonts w:eastAsia="Calibri"/>
        </w:rPr>
      </w:r>
    </w:p>
    <w:p>
      <w:pPr>
        <w:ind w:firstLine="9923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Директор </w:t>
      </w:r>
      <w:r>
        <w:rPr>
          <w:rFonts w:eastAsia="Calibri"/>
        </w:rPr>
        <w:t xml:space="preserve">ЛГ МАОУ ДО «ЦДТ «КреАйТив»</w:t>
      </w:r>
      <w:r>
        <w:rPr>
          <w:rFonts w:eastAsia="Calibri"/>
        </w:rPr>
        <w:t xml:space="preserve"> </w:t>
      </w:r>
      <w:r>
        <w:rPr>
          <w:rFonts w:eastAsia="Calibri"/>
        </w:rPr>
      </w:r>
    </w:p>
    <w:p>
      <w:pPr>
        <w:ind w:firstLine="9923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Н.М. Яковлев _____________________</w:t>
      </w:r>
      <w:r>
        <w:rPr>
          <w:rFonts w:eastAsia="Calibri"/>
        </w:rPr>
      </w:r>
    </w:p>
    <w:p>
      <w:pPr>
        <w:ind w:firstLine="9923"/>
        <w:jc w:val="both"/>
        <w:widowControl w:val="off"/>
        <w:rPr>
          <w:rFonts w:eastAsia="Calibri"/>
        </w:rPr>
      </w:pPr>
      <w:r>
        <w:rPr>
          <w:rFonts w:eastAsia="Calibri"/>
        </w:rPr>
        <w:t xml:space="preserve">«____» ______________ 2025г</w:t>
      </w:r>
      <w:r>
        <w:rPr>
          <w:rFonts w:eastAsia="Calibri"/>
        </w:rPr>
      </w:r>
    </w:p>
    <w:p>
      <w:pPr>
        <w:ind w:firstLine="540"/>
        <w:jc w:val="both"/>
        <w:widowControl w:val="off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</w:t>
      </w:r>
      <w:r>
        <w:rPr>
          <w:rFonts w:eastAsia="Calibri"/>
        </w:rPr>
        <w:t xml:space="preserve">                                                 </w:t>
      </w:r>
      <w:r>
        <w:rPr>
          <w:rFonts w:eastAsia="Calibri"/>
        </w:rPr>
      </w:r>
    </w:p>
    <w:p>
      <w:pPr>
        <w:ind w:firstLine="540"/>
        <w:jc w:val="both"/>
        <w:widowControl w:val="off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540"/>
        <w:jc w:val="both"/>
        <w:widowControl w:val="off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widowControl w:val="off"/>
        <w:rPr>
          <w:rFonts w:eastAsia="Calibri"/>
        </w:rPr>
      </w:pPr>
      <w:r/>
      <w:bookmarkStart w:id="0" w:name="Par1252"/>
      <w:r/>
      <w:bookmarkEnd w:id="0"/>
      <w:r>
        <w:rPr>
          <w:rFonts w:eastAsia="Calibri"/>
        </w:rPr>
        <w:t xml:space="preserve">Обоснование начальной (максимальной) цены контракта</w:t>
      </w:r>
      <w:r>
        <w:rPr>
          <w:rFonts w:eastAsia="Calibri"/>
        </w:rPr>
        <w:t xml:space="preserve"> </w:t>
      </w:r>
      <w:r>
        <w:rPr>
          <w:rFonts w:eastAsia="Calibri"/>
        </w:rPr>
      </w:r>
    </w:p>
    <w:p>
      <w:pPr>
        <w:widowControl w:val="off"/>
        <w:tabs>
          <w:tab w:val="center" w:pos="7144" w:leader="none"/>
          <w:tab w:val="left" w:pos="13048" w:leader="none"/>
        </w:tabs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  <w:b/>
        </w:rPr>
        <w:t xml:space="preserve">на поставку</w:t>
      </w:r>
      <w:r>
        <w:rPr>
          <w:rFonts w:eastAsia="Calibri"/>
          <w:b/>
        </w:rPr>
        <w:t xml:space="preserve"> </w:t>
      </w:r>
      <w:r>
        <w:rPr>
          <w:rFonts w:eastAsiaTheme="minorEastAsia"/>
          <w:b/>
        </w:rPr>
        <w:t xml:space="preserve">и монтаж кондиционер</w:t>
      </w:r>
      <w:r>
        <w:rPr>
          <w:rFonts w:eastAsiaTheme="minorEastAsia"/>
          <w:b/>
        </w:rPr>
        <w:t xml:space="preserve">ов</w:t>
      </w:r>
      <w:r>
        <w:rPr>
          <w:rFonts w:eastAsia="Calibri"/>
          <w:b/>
        </w:rPr>
      </w:r>
    </w:p>
    <w:p>
      <w:pPr>
        <w:widowControl w:val="off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tbl>
      <w:tblPr>
        <w:tblW w:w="151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59"/>
        <w:gridCol w:w="10298"/>
      </w:tblGrid>
      <w:tr>
        <w:tblPrEx/>
        <w:trPr>
          <w:trHeight w:val="450"/>
        </w:trPr>
        <w:tc>
          <w:tcPr>
            <w:shd w:val="clear" w:color="auto" w:fill="auto"/>
            <w:tcW w:w="4859" w:type="dxa"/>
            <w:textDirection w:val="lrTb"/>
            <w:noWrap w:val="false"/>
          </w:tcPr>
          <w:p>
            <w:r>
              <w:t xml:space="preserve">Используемый метод обоснования НМЦК</w:t>
            </w:r>
            <w:r/>
          </w:p>
        </w:tc>
        <w:tc>
          <w:tcPr>
            <w:shd w:val="clear" w:color="auto" w:fill="auto"/>
            <w:tcW w:w="10298" w:type="dxa"/>
            <w:textDirection w:val="lrTb"/>
            <w:noWrap w:val="false"/>
          </w:tcPr>
          <w:p>
            <w:pPr>
              <w:jc w:val="center"/>
            </w:pPr>
            <w:r>
              <w:t xml:space="preserve">Метод сопоставления рыночных цен (анализ рынка) </w:t>
            </w:r>
            <w:r/>
          </w:p>
          <w:p>
            <w:pPr>
              <w:jc w:val="center"/>
            </w:pPr>
            <w:r>
              <w:t xml:space="preserve">в соответствии с</w:t>
            </w:r>
            <w:r>
              <w:t xml:space="preserve"> </w:t>
            </w:r>
            <w:r>
              <w:t xml:space="preserve">ч. 2 ст. 2 Закона N 223-ФЗ</w:t>
            </w:r>
            <w:r>
              <w:t xml:space="preserve"> </w:t>
            </w:r>
            <w:r>
              <w:t xml:space="preserve">от </w:t>
            </w:r>
            <w:r>
              <w:t xml:space="preserve">18 июля 2011 года</w:t>
            </w:r>
            <w:r/>
          </w:p>
        </w:tc>
      </w:tr>
    </w:tbl>
    <w:p>
      <w:pPr>
        <w:ind w:firstLine="540"/>
        <w:jc w:val="center"/>
        <w:widowControl w:val="off"/>
        <w:rPr>
          <w:rFonts w:eastAsia="Calibri"/>
        </w:rPr>
      </w:pPr>
      <w:r>
        <w:rPr>
          <w:rFonts w:eastAsia="Calibri"/>
        </w:rPr>
        <w:t xml:space="preserve">Расчет НМЦК:</w:t>
      </w:r>
      <w:r>
        <w:rPr>
          <w:rFonts w:eastAsia="Calibri"/>
        </w:rPr>
        <w:t xml:space="preserve"> </w:t>
      </w:r>
      <w:r>
        <w:rPr>
          <w:rFonts w:eastAsia="Calibri"/>
        </w:rPr>
      </w:r>
    </w:p>
    <w:tbl>
      <w:tblPr>
        <w:tblW w:w="1518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547"/>
        <w:gridCol w:w="1134"/>
        <w:gridCol w:w="1134"/>
        <w:gridCol w:w="1701"/>
        <w:gridCol w:w="1985"/>
        <w:gridCol w:w="1984"/>
        <w:gridCol w:w="1559"/>
        <w:gridCol w:w="1559"/>
      </w:tblGrid>
      <w:tr>
        <w:tblPrEx/>
        <w:trPr>
          <w:trHeight w:val="300"/>
        </w:trPr>
        <w:tc>
          <w:tcPr>
            <w:shd w:val="clear" w:color="auto" w:fill="auto"/>
            <w:tcW w:w="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п/п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354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Наименование, о</w:t>
            </w:r>
            <w:r>
              <w:rPr>
                <w:bCs/>
              </w:rPr>
              <w:t xml:space="preserve">сновные характеристики объекта закупки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Единица  измерения</w:t>
            </w:r>
            <w:r>
              <w:rPr>
                <w:bCs/>
              </w:rPr>
            </w:r>
          </w:p>
        </w:tc>
        <w:tc>
          <w:tcPr>
            <w:shd w:val="clear" w:color="auto" w:fill="auto"/>
            <w:tcW w:w="113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Количест</w:t>
            </w:r>
            <w:r>
              <w:rPr>
                <w:bCs/>
              </w:rPr>
              <w:t xml:space="preserve">во</w:t>
            </w:r>
            <w:r>
              <w:rPr>
                <w:bCs/>
              </w:rPr>
            </w:r>
          </w:p>
        </w:tc>
        <w:tc>
          <w:tcPr>
            <w:gridSpan w:val="3"/>
            <w:tcW w:w="567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Цена за единицу, руб.</w:t>
            </w:r>
            <w:r>
              <w:rPr>
                <w:bCs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Средняя</w:t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цена за единицу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</w:r>
          </w:p>
          <w:p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 xml:space="preserve">руб.</w:t>
            </w:r>
            <w:r>
              <w:rPr>
                <w:bCs/>
                <w:color w:val="ff0000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НМЦ</w:t>
            </w:r>
            <w:r>
              <w:rPr>
                <w:bCs/>
              </w:rPr>
              <w:t xml:space="preserve">,</w:t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руб.</w:t>
            </w:r>
            <w:r>
              <w:rPr>
                <w:bCs/>
              </w:rPr>
            </w:r>
          </w:p>
        </w:tc>
      </w:tr>
      <w:tr>
        <w:tblPrEx/>
        <w:trPr>
          <w:trHeight w:val="810"/>
        </w:trPr>
        <w:tc>
          <w:tcPr>
            <w:tcW w:w="579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354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Источник информации 1</w:t>
            </w:r>
            <w:r>
              <w:rPr>
                <w:bCs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Источник информации 2</w:t>
            </w:r>
            <w:r>
              <w:rPr>
                <w:bCs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Источник информации </w:t>
            </w:r>
            <w:r>
              <w:rPr>
                <w:bCs/>
              </w:rPr>
              <w:t xml:space="preserve">3</w:t>
            </w:r>
            <w:r>
              <w:rPr>
                <w:bCs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17"/>
        </w:trPr>
        <w:tc>
          <w:tcPr>
            <w:shd w:val="clear" w:color="000000" w:fill="ffffff"/>
            <w:tcW w:w="579" w:type="dxa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auto"/>
            <w:tcW w:w="3547" w:type="dxa"/>
            <w:vAlign w:val="center"/>
            <w:textDirection w:val="lrTb"/>
            <w:noWrap w:val="false"/>
          </w:tcPr>
          <w:p>
            <w:r>
              <w:t xml:space="preserve">Кондиционер настенный сплит-система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88 995,00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99 999,00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110 000,00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99 664,67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498 323,3</w:t>
            </w:r>
            <w:r>
              <w:t xml:space="preserve">3</w:t>
            </w:r>
            <w:r/>
          </w:p>
        </w:tc>
      </w:tr>
      <w:tr>
        <w:tblPrEx/>
        <w:trPr>
          <w:trHeight w:val="217"/>
        </w:trPr>
        <w:tc>
          <w:tcPr>
            <w:shd w:val="clear" w:color="000000" w:fill="ffffff"/>
            <w:tcW w:w="579" w:type="dxa"/>
            <w:textDirection w:val="lrTb"/>
            <w:noWrap w:val="false"/>
          </w:tcPr>
          <w:p>
            <w:r>
              <w:t xml:space="preserve">2</w:t>
            </w:r>
            <w:r/>
          </w:p>
        </w:tc>
        <w:tc>
          <w:tcPr>
            <w:shd w:val="clear" w:color="auto" w:fill="auto"/>
            <w:tcW w:w="3547" w:type="dxa"/>
            <w:vAlign w:val="center"/>
            <w:textDirection w:val="lrTb"/>
            <w:noWrap w:val="false"/>
          </w:tcPr>
          <w:p>
            <w:r>
              <w:t xml:space="preserve">Установка кондиционера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шт.</w:t>
            </w:r>
            <w:r/>
          </w:p>
        </w:tc>
        <w:tc>
          <w:tcPr>
            <w:shd w:val="clear" w:color="auto" w:fill="auto"/>
            <w:tcW w:w="1134" w:type="dxa"/>
            <w:vAlign w:val="center"/>
            <w:textDirection w:val="lrTb"/>
            <w:noWrap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8</w:t>
            </w:r>
            <w:r>
              <w:t xml:space="preserve"> </w:t>
            </w:r>
            <w:r>
              <w:t xml:space="preserve">5</w:t>
            </w:r>
            <w:r>
              <w:t xml:space="preserve">00,00</w:t>
            </w:r>
            <w:r/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>
              <w:t xml:space="preserve">9</w:t>
            </w:r>
            <w:r>
              <w:t xml:space="preserve"> 000,00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>
              <w:t xml:space="preserve">3</w:t>
            </w:r>
            <w:r>
              <w:t xml:space="preserve"> 000,00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</w:t>
            </w:r>
            <w:r>
              <w:t xml:space="preserve"> </w:t>
            </w:r>
            <w:r>
              <w:t xml:space="preserve">1</w:t>
            </w:r>
            <w:r>
              <w:t xml:space="preserve">66,67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>
              <w:t xml:space="preserve"> </w:t>
            </w:r>
            <w:r>
              <w:t xml:space="preserve">8</w:t>
            </w:r>
            <w:r>
              <w:t xml:space="preserve">33,33</w:t>
            </w:r>
            <w:r/>
          </w:p>
        </w:tc>
      </w:tr>
      <w:tr>
        <w:tblPrEx/>
        <w:trPr>
          <w:trHeight w:val="70"/>
        </w:trPr>
        <w:tc>
          <w:tcPr>
            <w:gridSpan w:val="4"/>
            <w:shd w:val="clear" w:color="000000" w:fill="ffffff"/>
            <w:tcW w:w="6394" w:type="dxa"/>
            <w:textDirection w:val="lrTb"/>
            <w:noWrap w:val="false"/>
          </w:tcPr>
          <w:p>
            <w:r>
              <w:t xml:space="preserve">Начальная (максимальная) цена контракта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  <w:t xml:space="preserve">99</w:t>
            </w:r>
            <w:r>
              <w:rPr>
                <w:b/>
              </w:rPr>
              <w:t xml:space="preserve"> </w:t>
            </w:r>
            <w:r>
              <w:rPr>
                <w:b/>
              </w:rPr>
              <w:t xml:space="preserve">1</w:t>
            </w:r>
            <w:bookmarkStart w:id="1" w:name="_GoBack"/>
            <w:r/>
            <w:bookmarkEnd w:id="1"/>
            <w:r>
              <w:rPr>
                <w:b/>
              </w:rPr>
              <w:t xml:space="preserve">56,66</w:t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70"/>
        </w:trPr>
        <w:tc>
          <w:tcPr>
            <w:gridSpan w:val="4"/>
            <w:shd w:val="clear" w:color="000000" w:fill="ffffff"/>
            <w:tcW w:w="6394" w:type="dxa"/>
            <w:textDirection w:val="lrTb"/>
            <w:noWrap w:val="false"/>
          </w:tcPr>
          <w:p>
            <w:r>
              <w:t xml:space="preserve">Срок действия цен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05.07.2025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05.07.</w:t>
            </w:r>
            <w:r>
              <w:t xml:space="preserve">202</w:t>
            </w:r>
            <w:r>
              <w:t xml:space="preserve">25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05.07.20</w:t>
            </w:r>
            <w:r>
              <w:t xml:space="preserve">25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05.07.</w:t>
            </w:r>
            <w:r>
              <w:t xml:space="preserve">20</w:t>
            </w:r>
            <w:r>
              <w:t xml:space="preserve">25</w:t>
            </w:r>
            <w:r/>
          </w:p>
        </w:tc>
      </w:tr>
    </w:tbl>
    <w:p>
      <w:pPr>
        <w:widowControl w:val="off"/>
      </w:pPr>
      <w:r/>
      <w:r/>
    </w:p>
    <w:p>
      <w:pPr>
        <w:widowControl w:val="off"/>
      </w:pPr>
      <w:r>
        <w:t xml:space="preserve">Характеристики товар</w:t>
      </w:r>
      <w:r>
        <w:t xml:space="preserve">ов</w:t>
      </w:r>
      <w:r>
        <w:t xml:space="preserve"> (работ, услуг)</w:t>
      </w:r>
      <w:r>
        <w:t xml:space="preserve"> соответствуют характеристикам, указанным в описании объекта закупки (техническом задании).</w:t>
      </w:r>
      <w:r/>
    </w:p>
    <w:p>
      <w:pPr>
        <w:jc w:val="both"/>
        <w:widowControl w:val="off"/>
      </w:pPr>
      <w:r>
        <w:t xml:space="preserve">В цену входят следующие затраты: </w:t>
      </w:r>
      <w:r>
        <w:t xml:space="preserve">В общую цену Контракта включены все расходы Исполнителя,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</w:t>
      </w:r>
      <w:r>
        <w:t xml:space="preserve">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Исполнителя, стоимость всех необходимых погрузочно-разгрузочных работ</w:t>
      </w:r>
      <w:r>
        <w:t xml:space="preserve">,</w:t>
      </w:r>
      <w:r>
        <w:t xml:space="preserve"> </w:t>
      </w:r>
      <w:r>
        <w:rPr>
          <w:bCs/>
        </w:rPr>
        <w:t xml:space="preserve">установк</w:t>
      </w:r>
      <w:r>
        <w:rPr>
          <w:bCs/>
        </w:rPr>
        <w:t xml:space="preserve">и</w:t>
      </w:r>
      <w:r>
        <w:rPr>
          <w:bCs/>
        </w:rPr>
        <w:t xml:space="preserve">, настройк</w:t>
      </w:r>
      <w:r>
        <w:rPr>
          <w:bCs/>
        </w:rPr>
        <w:t xml:space="preserve">и</w:t>
      </w:r>
      <w:r>
        <w:rPr>
          <w:bCs/>
        </w:rPr>
        <w:t xml:space="preserve"> и пусконаладочны</w:t>
      </w:r>
      <w:r>
        <w:rPr>
          <w:bCs/>
        </w:rPr>
        <w:t xml:space="preserve">х</w:t>
      </w:r>
      <w:r>
        <w:rPr>
          <w:bCs/>
        </w:rPr>
        <w:t xml:space="preserve"> работ</w:t>
      </w:r>
      <w:r>
        <w:t xml:space="preserve"> </w:t>
      </w:r>
      <w:r>
        <w:t xml:space="preserve">и иные расходы, связанные с оказанием услуг.</w:t>
      </w:r>
      <w:r/>
    </w:p>
    <w:p>
      <w:pPr>
        <w:jc w:val="both"/>
        <w:widowControl w:val="off"/>
      </w:pPr>
      <w:r/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111"/>
      </w:tblGrid>
      <w:tr>
        <w:tblPrEx/>
        <w:trPr/>
        <w:tc>
          <w:tcPr>
            <w:tcW w:w="241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0"/>
                <w:szCs w:val="20"/>
              </w:rPr>
            </w:pPr>
            <w:r/>
            <w:hyperlink w:tooltip="#Par1346" w:anchor="Par1346" w:history="1">
              <w:r>
                <w:rPr>
                  <w:rFonts w:eastAsia="Calibri"/>
                  <w:color w:val="0000ff"/>
                  <w:sz w:val="20"/>
                  <w:szCs w:val="20"/>
                </w:rPr>
                <w:t xml:space="preserve">*</w:t>
              </w:r>
            </w:hyperlink>
            <w:r>
              <w:rPr>
                <w:rFonts w:eastAsia="Calibri"/>
                <w:sz w:val="20"/>
                <w:szCs w:val="20"/>
              </w:rPr>
              <w:t xml:space="preserve">Номер источника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информации, </w:t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указанный в таблице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Реквизиты документов, на основании которых выполнен расчет (номер, дата)</w:t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/>
        <w:tc>
          <w:tcPr>
            <w:tcW w:w="241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</w:rPr>
            </w:pPr>
            <w:r>
              <w:rPr>
                <w:rFonts w:eastAsia="Calibri"/>
              </w:rPr>
              <w:t xml:space="preserve">1.</w:t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411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</w:rPr>
            </w:pPr>
            <w:r>
              <w:t xml:space="preserve">КП №1</w:t>
            </w:r>
            <w:r>
              <w:t xml:space="preserve">2</w:t>
            </w:r>
            <w:r>
              <w:t xml:space="preserve"> от </w:t>
            </w:r>
            <w:r>
              <w:t xml:space="preserve">27</w:t>
            </w:r>
            <w:r>
              <w:t xml:space="preserve">.0</w:t>
            </w:r>
            <w:r>
              <w:t xml:space="preserve">3</w:t>
            </w:r>
            <w:r>
              <w:t xml:space="preserve">.202</w:t>
            </w:r>
            <w:r>
              <w:t xml:space="preserve">5</w:t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W w:w="241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</w:rPr>
            </w:pPr>
            <w:r>
              <w:rPr>
                <w:rFonts w:eastAsia="Calibri"/>
              </w:rPr>
              <w:t xml:space="preserve">2.</w:t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411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</w:rPr>
            </w:pPr>
            <w:r>
              <w:t xml:space="preserve">КП № </w:t>
            </w:r>
            <w:r>
              <w:t xml:space="preserve">1</w:t>
            </w:r>
            <w:r>
              <w:t xml:space="preserve">0</w:t>
            </w:r>
            <w:r>
              <w:t xml:space="preserve">4</w:t>
            </w:r>
            <w:r>
              <w:t xml:space="preserve"> от </w:t>
            </w:r>
            <w:r>
              <w:rPr>
                <w:rFonts w:eastAsia="Calibri"/>
              </w:rPr>
              <w:t xml:space="preserve">27.03.2025</w:t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W w:w="241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</w:rPr>
            </w:pPr>
            <w:r>
              <w:rPr>
                <w:rFonts w:eastAsia="Calibri"/>
              </w:rPr>
              <w:t xml:space="preserve">3.</w:t>
            </w:r>
            <w:r>
              <w:rPr>
                <w:rFonts w:eastAsia="Calibri"/>
              </w:rPr>
            </w:r>
          </w:p>
        </w:tc>
        <w:tc>
          <w:tcPr>
            <w:shd w:val="clear" w:color="auto" w:fill="auto"/>
            <w:tcW w:w="411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="Calibri"/>
              </w:rPr>
            </w:pPr>
            <w:r>
              <w:t xml:space="preserve">КП №</w:t>
            </w:r>
            <w:r>
              <w:t xml:space="preserve">03</w:t>
            </w:r>
            <w:r>
              <w:t xml:space="preserve">-2</w:t>
            </w:r>
            <w:r>
              <w:t xml:space="preserve">7</w:t>
            </w:r>
            <w:r>
              <w:t xml:space="preserve"> от </w:t>
            </w:r>
            <w:r>
              <w:t xml:space="preserve">27</w:t>
            </w:r>
            <w:r>
              <w:t xml:space="preserve">.0</w:t>
            </w:r>
            <w:r>
              <w:t xml:space="preserve">3</w:t>
            </w:r>
            <w:r>
              <w:t xml:space="preserve">.202</w:t>
            </w:r>
            <w:r>
              <w:rPr>
                <w:rFonts w:eastAsia="Calibri"/>
              </w:rPr>
              <w:t xml:space="preserve">5</w:t>
            </w:r>
            <w:r>
              <w:rPr>
                <w:rFonts w:eastAsia="Calibri"/>
              </w:rPr>
            </w:r>
          </w:p>
        </w:tc>
      </w:tr>
    </w:tbl>
    <w:p>
      <w:pPr>
        <w:jc w:val="both"/>
        <w:widowControl w:val="off"/>
        <w:rPr>
          <w:bCs/>
        </w:rPr>
      </w:pPr>
      <w:r>
        <w:rPr>
          <w:bCs/>
        </w:rPr>
      </w:r>
      <w:r>
        <w:rPr>
          <w:bCs/>
        </w:rPr>
      </w:r>
    </w:p>
    <w:p>
      <w:pPr>
        <w:jc w:val="both"/>
        <w:widowControl w:val="off"/>
        <w:rPr>
          <w:sz w:val="20"/>
          <w:szCs w:val="20"/>
        </w:rPr>
      </w:pPr>
      <w:r>
        <w:rPr>
          <w:bCs/>
        </w:rPr>
        <w:t xml:space="preserve">Дата подготовки обоснования НМЦК: </w:t>
      </w:r>
      <w:r>
        <w:rPr>
          <w:rFonts w:eastAsiaTheme="minorEastAsia"/>
          <w:b/>
          <w:bCs/>
        </w:rPr>
        <w:t xml:space="preserve">27</w:t>
      </w:r>
      <w:r>
        <w:rPr>
          <w:rFonts w:eastAsiaTheme="minorEastAsia"/>
          <w:b/>
          <w:bCs/>
        </w:rPr>
        <w:t xml:space="preserve">.0</w:t>
      </w:r>
      <w:r>
        <w:rPr>
          <w:rFonts w:eastAsiaTheme="minorEastAsia"/>
          <w:b/>
          <w:bCs/>
        </w:rPr>
        <w:t xml:space="preserve">3</w:t>
      </w:r>
      <w:r>
        <w:rPr>
          <w:rFonts w:eastAsiaTheme="minorEastAsia"/>
          <w:b/>
          <w:bCs/>
        </w:rPr>
        <w:t xml:space="preserve">.202</w:t>
      </w:r>
      <w:r>
        <w:rPr>
          <w:rFonts w:eastAsiaTheme="minorEastAsia"/>
          <w:b/>
          <w:bCs/>
        </w:rPr>
        <w:t xml:space="preserve">5</w:t>
      </w:r>
      <w:r>
        <w:rPr>
          <w:rFonts w:eastAsiaTheme="minorEastAsia"/>
          <w:b/>
          <w:bCs/>
        </w:rPr>
        <w:t xml:space="preserve">г</w:t>
      </w:r>
      <w:r>
        <w:rPr>
          <w:sz w:val="20"/>
          <w:szCs w:val="20"/>
        </w:rPr>
      </w:r>
    </w:p>
    <w:sectPr>
      <w:footnotePr/>
      <w:endnotePr/>
      <w:type w:val="nextPage"/>
      <w:pgSz w:w="16838" w:h="11906" w:orient="landscape"/>
      <w:pgMar w:top="426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79" w:hanging="1095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4"/>
    <w:link w:val="42"/>
    <w:uiPriority w:val="99"/>
  </w:style>
  <w:style w:type="paragraph" w:styleId="44">
    <w:name w:val="Footer"/>
    <w:basedOn w:val="66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4"/>
    <w:link w:val="44"/>
    <w:uiPriority w:val="99"/>
  </w:style>
  <w:style w:type="paragraph" w:styleId="46">
    <w:name w:val="Caption"/>
    <w:basedOn w:val="663"/>
    <w:next w:val="66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69"/>
    <w:uiPriority w:val="99"/>
    <w:rPr>
      <w:sz w:val="18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>
    <w:name w:val="Balloon Text"/>
    <w:basedOn w:val="663"/>
    <w:link w:val="668"/>
    <w:uiPriority w:val="99"/>
    <w:semiHidden/>
    <w:unhideWhenUsed/>
    <w:rPr>
      <w:rFonts w:ascii="Tahoma" w:hAnsi="Tahoma" w:cs="Tahoma"/>
      <w:sz w:val="16"/>
      <w:szCs w:val="16"/>
    </w:rPr>
  </w:style>
  <w:style w:type="character" w:styleId="668" w:customStyle="1">
    <w:name w:val="Текст выноски Знак"/>
    <w:basedOn w:val="664"/>
    <w:link w:val="66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69">
    <w:name w:val="footnote text"/>
    <w:basedOn w:val="663"/>
    <w:link w:val="670"/>
    <w:uiPriority w:val="99"/>
    <w:rPr>
      <w:rFonts w:ascii="Calibri" w:hAnsi="Calibri"/>
      <w:sz w:val="20"/>
      <w:szCs w:val="20"/>
    </w:rPr>
  </w:style>
  <w:style w:type="character" w:styleId="670" w:customStyle="1">
    <w:name w:val="Текст сноски Знак"/>
    <w:basedOn w:val="664"/>
    <w:link w:val="669"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character" w:styleId="671">
    <w:name w:val="footnote reference"/>
    <w:rPr>
      <w:rFonts w:cs="Times New Roman"/>
      <w:vertAlign w:val="superscript"/>
    </w:rPr>
  </w:style>
  <w:style w:type="paragraph" w:styleId="672">
    <w:name w:val="List Paragraph"/>
    <w:basedOn w:val="66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E117-FA0C-4D37-8518-6C12FA85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Екатерина Алексеевна</dc:creator>
  <cp:lastModifiedBy>Юрист</cp:lastModifiedBy>
  <cp:revision>11</cp:revision>
  <dcterms:created xsi:type="dcterms:W3CDTF">2024-02-20T11:11:00Z</dcterms:created>
  <dcterms:modified xsi:type="dcterms:W3CDTF">2025-04-09T09:31:34Z</dcterms:modified>
</cp:coreProperties>
</file>