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054C" w14:textId="77777777" w:rsidR="000E0549" w:rsidRDefault="000E0549" w:rsidP="000E054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ТЕХНИЧЕСКОЕ ЗАДАНИЕ</w:t>
      </w:r>
    </w:p>
    <w:p w14:paraId="0F38FC05" w14:textId="77777777" w:rsidR="000E0549" w:rsidRDefault="000E0549" w:rsidP="000E054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</w:rPr>
        <w:t>Для выполнения работ по восстановлению асфальтового покрытия на дорогах г. Улан-Удэ после проведения ремонта сетей водоснабжения и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6704"/>
      </w:tblGrid>
      <w:tr w:rsidR="000E0549" w14:paraId="740A6AF5" w14:textId="77777777" w:rsidTr="000E0549">
        <w:tc>
          <w:tcPr>
            <w:tcW w:w="1413" w:type="pct"/>
          </w:tcPr>
          <w:p w14:paraId="18290344" w14:textId="77777777" w:rsidR="000E0549" w:rsidRDefault="000E0549" w:rsidP="004A5A7B">
            <w:pPr>
              <w:spacing w:after="0" w:line="240" w:lineRule="auto"/>
            </w:pPr>
            <w:r>
              <w:t>1. Наименование и адрес объекта</w:t>
            </w:r>
          </w:p>
        </w:tc>
        <w:tc>
          <w:tcPr>
            <w:tcW w:w="3587" w:type="pct"/>
          </w:tcPr>
          <w:p w14:paraId="786F0B0F" w14:textId="77777777" w:rsidR="000E0549" w:rsidRDefault="000E0549" w:rsidP="004A5A7B">
            <w:pPr>
              <w:spacing w:after="0" w:line="240" w:lineRule="auto"/>
            </w:pPr>
            <w:r>
              <w:t>Восстановление асфальтового покрытия площадью (определенной в Заявке Заказчика) м</w:t>
            </w:r>
            <w:proofErr w:type="gramStart"/>
            <w:r>
              <w:t>2  на</w:t>
            </w:r>
            <w:proofErr w:type="gramEnd"/>
            <w:r>
              <w:t xml:space="preserve"> территории  г. Улан-Удэ. </w:t>
            </w:r>
          </w:p>
          <w:p w14:paraId="570849F7" w14:textId="77777777" w:rsidR="000E0549" w:rsidRDefault="000E0549" w:rsidP="004A5A7B">
            <w:pPr>
              <w:spacing w:after="0" w:line="240" w:lineRule="auto"/>
            </w:pPr>
            <w:r>
              <w:t xml:space="preserve">Проведение работ производятся по заявкам Заказчика. Срок выполнения работ по </w:t>
            </w:r>
            <w:proofErr w:type="gramStart"/>
            <w:r>
              <w:t>Заявке  на</w:t>
            </w:r>
            <w:proofErr w:type="gramEnd"/>
            <w:r>
              <w:t xml:space="preserve"> участке - 5 календарных дней, с момента выдачи Заявки. </w:t>
            </w:r>
          </w:p>
        </w:tc>
      </w:tr>
      <w:tr w:rsidR="000E0549" w14:paraId="3F220EE7" w14:textId="77777777" w:rsidTr="000E0549">
        <w:tc>
          <w:tcPr>
            <w:tcW w:w="1413" w:type="pct"/>
          </w:tcPr>
          <w:p w14:paraId="4EB63E3A" w14:textId="77777777" w:rsidR="000E0549" w:rsidRDefault="000E0549" w:rsidP="004A5A7B">
            <w:pPr>
              <w:spacing w:after="0" w:line="240" w:lineRule="auto"/>
            </w:pPr>
            <w:r>
              <w:t>2. Основание для проведения работ</w:t>
            </w:r>
          </w:p>
        </w:tc>
        <w:tc>
          <w:tcPr>
            <w:tcW w:w="3587" w:type="pct"/>
          </w:tcPr>
          <w:p w14:paraId="407E0F69" w14:textId="77777777" w:rsidR="000E0549" w:rsidRDefault="000E0549" w:rsidP="004A5A7B">
            <w:pPr>
              <w:spacing w:after="0" w:line="240" w:lineRule="auto"/>
            </w:pPr>
            <w:r>
              <w:t xml:space="preserve">Восстановлению асфальтового покрытия, </w:t>
            </w:r>
            <w:proofErr w:type="gramStart"/>
            <w:r>
              <w:t>согласно соглашений</w:t>
            </w:r>
            <w:proofErr w:type="gramEnd"/>
            <w:r>
              <w:t xml:space="preserve"> о восстановлении нарушенного благоустройства после проведения плановых и аварийных работ, на сетях водоснабжения и водоотведения, находящихся на проезжей части и благоустроенных территориях.</w:t>
            </w:r>
          </w:p>
        </w:tc>
      </w:tr>
      <w:tr w:rsidR="000E0549" w14:paraId="651D088A" w14:textId="77777777" w:rsidTr="000E0549">
        <w:tc>
          <w:tcPr>
            <w:tcW w:w="1413" w:type="pct"/>
          </w:tcPr>
          <w:p w14:paraId="18A29301" w14:textId="77777777" w:rsidR="000E0549" w:rsidRDefault="000E0549" w:rsidP="004A5A7B">
            <w:pPr>
              <w:spacing w:after="0" w:line="240" w:lineRule="auto"/>
            </w:pPr>
            <w:r>
              <w:t>3. Цель выполнения работ</w:t>
            </w:r>
          </w:p>
        </w:tc>
        <w:tc>
          <w:tcPr>
            <w:tcW w:w="3587" w:type="pct"/>
          </w:tcPr>
          <w:p w14:paraId="2FEE5419" w14:textId="77777777" w:rsidR="000E0549" w:rsidRDefault="000E0549" w:rsidP="004A5A7B">
            <w:pPr>
              <w:spacing w:after="0" w:line="240" w:lineRule="auto"/>
            </w:pPr>
            <w:r>
              <w:t>Восстановление транспортно-эксплуатационного состояния участка дороги для обеспечения безопасного и бесперебойного проезда по участку дороги.</w:t>
            </w:r>
          </w:p>
        </w:tc>
      </w:tr>
      <w:tr w:rsidR="000E0549" w14:paraId="4DE494B6" w14:textId="77777777" w:rsidTr="000E0549">
        <w:tc>
          <w:tcPr>
            <w:tcW w:w="1413" w:type="pct"/>
          </w:tcPr>
          <w:p w14:paraId="25DD7E96" w14:textId="77777777" w:rsidR="000E0549" w:rsidRDefault="000E0549" w:rsidP="004A5A7B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</w:rPr>
            </w:pPr>
            <w:r>
              <w:t>4.Основные характеристики объекта ремонта:</w:t>
            </w:r>
          </w:p>
          <w:p w14:paraId="3D4DFBE9" w14:textId="77777777" w:rsidR="000E0549" w:rsidRDefault="000E0549" w:rsidP="004A5A7B">
            <w:pPr>
              <w:spacing w:after="0" w:line="240" w:lineRule="auto"/>
            </w:pPr>
          </w:p>
        </w:tc>
        <w:tc>
          <w:tcPr>
            <w:tcW w:w="3587" w:type="pct"/>
          </w:tcPr>
          <w:p w14:paraId="73C5F50E" w14:textId="77777777" w:rsidR="000E0549" w:rsidRDefault="000E0549" w:rsidP="004A5A7B">
            <w:pPr>
              <w:spacing w:after="0" w:line="240" w:lineRule="auto"/>
            </w:pPr>
            <w:r>
              <w:t>1. Подготовительные работы:</w:t>
            </w:r>
          </w:p>
          <w:p w14:paraId="0C570B02" w14:textId="77777777" w:rsidR="000E0549" w:rsidRDefault="000E0549" w:rsidP="004A5A7B">
            <w:pPr>
              <w:spacing w:after="0" w:line="240" w:lineRule="auto"/>
            </w:pPr>
            <w:r>
              <w:t>-восстановление и закрепление трассы;</w:t>
            </w:r>
          </w:p>
          <w:p w14:paraId="024DF504" w14:textId="77777777" w:rsidR="000E0549" w:rsidRDefault="000E0549" w:rsidP="004A5A7B">
            <w:pPr>
              <w:spacing w:after="0" w:line="240" w:lineRule="auto"/>
            </w:pPr>
            <w:r>
              <w:t>-демонтажные работы.</w:t>
            </w:r>
          </w:p>
          <w:p w14:paraId="03BD5128" w14:textId="77777777" w:rsidR="000E0549" w:rsidRDefault="000E0549" w:rsidP="004A5A7B">
            <w:pPr>
              <w:spacing w:after="0" w:line="240" w:lineRule="auto"/>
            </w:pPr>
            <w:r>
              <w:t>2. Земляные работы;</w:t>
            </w:r>
          </w:p>
          <w:p w14:paraId="10DF0F94" w14:textId="77777777" w:rsidR="000E0549" w:rsidRDefault="000E0549" w:rsidP="004A5A7B">
            <w:pPr>
              <w:spacing w:after="0" w:line="240" w:lineRule="auto"/>
            </w:pPr>
            <w:r>
              <w:t>3. Устройство дорожной одежды:</w:t>
            </w:r>
          </w:p>
          <w:p w14:paraId="58655308" w14:textId="77777777" w:rsidR="000E0549" w:rsidRDefault="000E0549" w:rsidP="004A5A7B">
            <w:pPr>
              <w:spacing w:after="0" w:line="240" w:lineRule="auto"/>
            </w:pPr>
            <w:r>
              <w:t>-ямочный ремонт;</w:t>
            </w:r>
          </w:p>
          <w:p w14:paraId="422F464A" w14:textId="77777777" w:rsidR="000E0549" w:rsidRDefault="000E0549" w:rsidP="004A5A7B">
            <w:pPr>
              <w:spacing w:after="0" w:line="240" w:lineRule="auto"/>
            </w:pPr>
            <w:r>
              <w:t>-фрезерование существующего покрытия;</w:t>
            </w:r>
          </w:p>
          <w:p w14:paraId="2AA86817" w14:textId="77777777" w:rsidR="000E0549" w:rsidRDefault="000E0549" w:rsidP="004A5A7B">
            <w:pPr>
              <w:spacing w:after="0" w:line="240" w:lineRule="auto"/>
              <w:rPr>
                <w:color w:val="FF0000"/>
              </w:rPr>
            </w:pPr>
            <w:r>
              <w:t>-</w:t>
            </w:r>
            <w:r>
              <w:rPr>
                <w:color w:val="FF0000"/>
              </w:rPr>
              <w:t>устройство щебеночного основания;</w:t>
            </w:r>
          </w:p>
          <w:p w14:paraId="19AE00B7" w14:textId="77777777" w:rsidR="000E0549" w:rsidRDefault="000E0549" w:rsidP="004A5A7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-устройство выравнивающего слоя;</w:t>
            </w:r>
          </w:p>
          <w:p w14:paraId="435E3576" w14:textId="77777777" w:rsidR="000E0549" w:rsidRDefault="000E0549" w:rsidP="004A5A7B">
            <w:pPr>
              <w:spacing w:after="0" w:line="240" w:lineRule="auto"/>
            </w:pPr>
            <w:r>
              <w:t>-устройство асфальтового покрытия.</w:t>
            </w:r>
          </w:p>
          <w:p w14:paraId="1035C690" w14:textId="77777777" w:rsidR="000E0549" w:rsidRDefault="000E0549" w:rsidP="004A5A7B">
            <w:pPr>
              <w:spacing w:after="0" w:line="240" w:lineRule="auto"/>
            </w:pPr>
            <w:r>
              <w:t>4. Устройство и укрепление обочин;</w:t>
            </w:r>
          </w:p>
          <w:p w14:paraId="7A0F3BDB" w14:textId="77777777" w:rsidR="000E0549" w:rsidRDefault="000E0549" w:rsidP="004A5A7B">
            <w:pPr>
              <w:spacing w:after="0" w:line="240" w:lineRule="auto"/>
            </w:pPr>
            <w:r>
              <w:t>5. Устройство бортовых камней;</w:t>
            </w:r>
          </w:p>
          <w:p w14:paraId="35782D95" w14:textId="77777777" w:rsidR="000E0549" w:rsidRDefault="000E0549" w:rsidP="004A5A7B">
            <w:pPr>
              <w:spacing w:after="0" w:line="240" w:lineRule="auto"/>
            </w:pPr>
            <w:r>
              <w:t xml:space="preserve">6. </w:t>
            </w:r>
            <w:r>
              <w:rPr>
                <w:color w:val="FF0000"/>
              </w:rPr>
              <w:t>Устройство поверхностного водоотвода</w:t>
            </w:r>
            <w:r>
              <w:t>;</w:t>
            </w:r>
          </w:p>
          <w:p w14:paraId="5E796BB1" w14:textId="77777777" w:rsidR="000E0549" w:rsidRDefault="000E0549" w:rsidP="004A5A7B">
            <w:pPr>
              <w:spacing w:after="0" w:line="240" w:lineRule="auto"/>
            </w:pPr>
            <w:r>
              <w:t>7. Устройство остановочных карманов;</w:t>
            </w:r>
          </w:p>
          <w:p w14:paraId="732558D6" w14:textId="77777777" w:rsidR="000E0549" w:rsidRDefault="000E0549" w:rsidP="004A5A7B">
            <w:pPr>
              <w:spacing w:after="0" w:line="240" w:lineRule="auto"/>
            </w:pPr>
            <w:r>
              <w:t>8. Устройство тротуаров;</w:t>
            </w:r>
          </w:p>
          <w:p w14:paraId="7ACE0D63" w14:textId="77777777" w:rsidR="000E0549" w:rsidRDefault="000E0549" w:rsidP="004A5A7B">
            <w:pPr>
              <w:spacing w:after="0" w:line="240" w:lineRule="auto"/>
            </w:pPr>
            <w:r>
              <w:t>9. Организация дорожного движения.</w:t>
            </w:r>
          </w:p>
        </w:tc>
      </w:tr>
      <w:tr w:rsidR="000E0549" w14:paraId="6BFAED65" w14:textId="77777777" w:rsidTr="000E0549">
        <w:tc>
          <w:tcPr>
            <w:tcW w:w="1413" w:type="pct"/>
          </w:tcPr>
          <w:p w14:paraId="5529ECCC" w14:textId="77777777" w:rsidR="000E0549" w:rsidRDefault="000E0549" w:rsidP="004A5A7B">
            <w:pPr>
              <w:spacing w:after="0" w:line="240" w:lineRule="auto"/>
              <w:jc w:val="both"/>
            </w:pPr>
            <w:r>
              <w:t>5.Технические характеристики объекта ремонта</w:t>
            </w:r>
          </w:p>
        </w:tc>
        <w:tc>
          <w:tcPr>
            <w:tcW w:w="3587" w:type="pct"/>
          </w:tcPr>
          <w:p w14:paraId="446E306A" w14:textId="77777777" w:rsidR="000E0549" w:rsidRDefault="000E0549" w:rsidP="004A5A7B">
            <w:pPr>
              <w:spacing w:after="0" w:line="240" w:lineRule="auto"/>
            </w:pPr>
            <w:r>
              <w:t xml:space="preserve">- категория автодорог-магистральные улицы, общегородского значения, регулируемого движения,                                                            </w:t>
            </w:r>
          </w:p>
          <w:p w14:paraId="52443856" w14:textId="77777777" w:rsidR="000E0549" w:rsidRDefault="000E0549" w:rsidP="004A5A7B">
            <w:pPr>
              <w:spacing w:after="0" w:line="240" w:lineRule="auto"/>
            </w:pPr>
            <w:r>
              <w:t>- расчётная скорость, км/ч - 60</w:t>
            </w:r>
          </w:p>
          <w:p w14:paraId="1E320F50" w14:textId="77777777" w:rsidR="000E0549" w:rsidRDefault="000E0549" w:rsidP="004A5A7B">
            <w:pPr>
              <w:spacing w:after="0" w:line="240" w:lineRule="auto"/>
            </w:pPr>
            <w:r>
              <w:t xml:space="preserve">- площадь, м2 </w:t>
            </w:r>
            <w:proofErr w:type="gramStart"/>
            <w:r>
              <w:t>–  согласно</w:t>
            </w:r>
            <w:proofErr w:type="gramEnd"/>
            <w:r>
              <w:t xml:space="preserve"> Заявке Заказчика и локально-сметного расчета. </w:t>
            </w:r>
          </w:p>
          <w:p w14:paraId="01824243" w14:textId="77777777" w:rsidR="000E0549" w:rsidRDefault="000E0549" w:rsidP="004A5A7B">
            <w:pPr>
              <w:spacing w:after="0" w:line="240" w:lineRule="auto"/>
            </w:pPr>
            <w:r>
              <w:t>- тип дорожной одежды - капитальный</w:t>
            </w:r>
            <w:r>
              <w:tab/>
            </w:r>
          </w:p>
          <w:p w14:paraId="7D34C1C7" w14:textId="77777777" w:rsidR="000E0549" w:rsidRDefault="000E0549" w:rsidP="004A5A7B">
            <w:pPr>
              <w:spacing w:after="0" w:line="240" w:lineRule="auto"/>
            </w:pPr>
            <w:r>
              <w:t>- вид покрытия - асфальтобетон</w:t>
            </w:r>
            <w:r>
              <w:tab/>
            </w:r>
          </w:p>
        </w:tc>
      </w:tr>
      <w:tr w:rsidR="000E0549" w14:paraId="639878FD" w14:textId="77777777" w:rsidTr="000E0549">
        <w:tc>
          <w:tcPr>
            <w:tcW w:w="1413" w:type="pct"/>
          </w:tcPr>
          <w:p w14:paraId="14723C0C" w14:textId="77777777" w:rsidR="000E0549" w:rsidRDefault="000E0549" w:rsidP="004A5A7B">
            <w:pPr>
              <w:spacing w:after="0" w:line="240" w:lineRule="auto"/>
              <w:rPr>
                <w:highlight w:val="yellow"/>
              </w:rPr>
            </w:pPr>
            <w:r>
              <w:t>6. При выполнении и сдаче работ подрядчик должен обеспечить</w:t>
            </w:r>
          </w:p>
        </w:tc>
        <w:tc>
          <w:tcPr>
            <w:tcW w:w="3587" w:type="pct"/>
          </w:tcPr>
          <w:p w14:paraId="7D7651AD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rPr>
                <w:b/>
              </w:rPr>
              <w:t xml:space="preserve">- </w:t>
            </w:r>
            <w:r>
              <w:t>соответствие выполняемых работ техническому заданию, предписаниям, схемам дислокации дорожных знаков и требованиям нормативной документации;</w:t>
            </w:r>
          </w:p>
          <w:p w14:paraId="3F285854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t xml:space="preserve">- выполнение работ по заявке заказчика, в том числе участки для восстановления асфальтового покрытия от 1м2 (участки вокруг колодцев, ямочные ремонты). </w:t>
            </w:r>
          </w:p>
          <w:p w14:paraId="09D1595F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t xml:space="preserve">- организацию дорожного движения и ограждение мест проведения работ, согласно согласованной с Заказчиком схеме. </w:t>
            </w:r>
          </w:p>
          <w:p w14:paraId="3F5E5699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t xml:space="preserve">В целях выполнения условий предусмотренных настоящим абзацем Подрядчик разрабатывает Схему </w:t>
            </w:r>
            <w:proofErr w:type="gramStart"/>
            <w:r>
              <w:t>проезда,  в</w:t>
            </w:r>
            <w:proofErr w:type="gramEnd"/>
            <w:r>
              <w:t xml:space="preserve"> срок не позднее 5 (пяти) рабочих дней с даты подачи Заявки согласовывает ее с Заказчиком, обеспечивает ее утверждение органами исполнительной власти.</w:t>
            </w:r>
          </w:p>
          <w:p w14:paraId="212CF131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t>- выполнение мероприятий по безопасности дорожного движения, технике безопасности, охране окружающей среды и сохранности объектов благоустройства;</w:t>
            </w:r>
          </w:p>
          <w:p w14:paraId="542DB4D3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t>- выезд представителя Заказчика на место производства работ для приемки выполненных объемов работ.</w:t>
            </w:r>
          </w:p>
          <w:p w14:paraId="787EDC30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lastRenderedPageBreak/>
              <w:t>Для производства работ по ремонту участка автомобильной дороги необходимо иметь соответствующие документы и допуски для выполнения данных видов работ.</w:t>
            </w:r>
          </w:p>
          <w:p w14:paraId="35D21FF7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t>Вести исполнительную документацию и представить все необходимые документы приемочной комиссии по приемке объекта в соответствии с договором.</w:t>
            </w:r>
          </w:p>
          <w:p w14:paraId="59210A64" w14:textId="77777777" w:rsidR="000E0549" w:rsidRDefault="000E0549" w:rsidP="004A5A7B">
            <w:pPr>
              <w:spacing w:after="0" w:line="240" w:lineRule="auto"/>
              <w:contextualSpacing/>
              <w:jc w:val="both"/>
            </w:pPr>
            <w:r>
              <w:t xml:space="preserve">Выполнить работы с соответствующим качеством, работы выполнить согласно графику, указанному в заявке Заказчика. </w:t>
            </w:r>
          </w:p>
        </w:tc>
      </w:tr>
      <w:tr w:rsidR="000E0549" w14:paraId="33F0F7DD" w14:textId="77777777" w:rsidTr="000E0549">
        <w:tc>
          <w:tcPr>
            <w:tcW w:w="1413" w:type="pct"/>
          </w:tcPr>
          <w:p w14:paraId="6B6679DE" w14:textId="77777777" w:rsidR="000E0549" w:rsidRDefault="000E0549" w:rsidP="004A5A7B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</w:rPr>
            </w:pPr>
            <w:r>
              <w:lastRenderedPageBreak/>
              <w:t>7. Организация движения транспорта</w:t>
            </w:r>
          </w:p>
          <w:p w14:paraId="555E326F" w14:textId="77777777" w:rsidR="000E0549" w:rsidRDefault="000E0549" w:rsidP="004A5A7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587" w:type="pct"/>
          </w:tcPr>
          <w:p w14:paraId="19C19EAC" w14:textId="77777777" w:rsidR="000E0549" w:rsidRDefault="000E0549" w:rsidP="004A5A7B">
            <w:pPr>
              <w:tabs>
                <w:tab w:val="left" w:pos="0"/>
              </w:tabs>
              <w:spacing w:after="0" w:line="240" w:lineRule="auto"/>
              <w:contextualSpacing/>
              <w:jc w:val="both"/>
            </w:pPr>
            <w:r>
              <w:t>Организацию движения, установку дорожных знаков и ограждений на ремонте объекта выполнить в соответствии с ОДМ 218.6.019-2016, а также действующими инструкциями и нормативными документами по соблюдению техники безопасности при производстве данного вида работ.</w:t>
            </w:r>
          </w:p>
        </w:tc>
      </w:tr>
      <w:tr w:rsidR="000E0549" w14:paraId="3E7552E7" w14:textId="77777777" w:rsidTr="000E0549">
        <w:tc>
          <w:tcPr>
            <w:tcW w:w="1413" w:type="pct"/>
          </w:tcPr>
          <w:p w14:paraId="3E61A8C9" w14:textId="77777777" w:rsidR="000E0549" w:rsidRDefault="000E0549" w:rsidP="004A5A7B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</w:rPr>
            </w:pPr>
            <w:r>
              <w:t>8. Требования к качеству материалов, используемых при выполнении работ.</w:t>
            </w:r>
          </w:p>
          <w:p w14:paraId="4394F625" w14:textId="77777777" w:rsidR="000E0549" w:rsidRDefault="000E0549" w:rsidP="004A5A7B">
            <w:pPr>
              <w:spacing w:after="0" w:line="240" w:lineRule="auto"/>
            </w:pPr>
          </w:p>
        </w:tc>
        <w:tc>
          <w:tcPr>
            <w:tcW w:w="3587" w:type="pct"/>
          </w:tcPr>
          <w:p w14:paraId="44B3BC16" w14:textId="77777777" w:rsidR="000E0549" w:rsidRDefault="000E0549" w:rsidP="004A5A7B">
            <w:pPr>
              <w:tabs>
                <w:tab w:val="left" w:pos="0"/>
              </w:tabs>
              <w:spacing w:after="0" w:line="240" w:lineRule="auto"/>
              <w:contextualSpacing/>
              <w:jc w:val="both"/>
            </w:pPr>
            <w:r>
              <w:t>Применяемые при ремонте участков автомобильных дорог материалы должны быть новыми, то есть не бывшими в эксплуатации, не повреждёнными, без каких-либо ограничений (залог, запрет, арест и т.п.) к свободному обращению на территории Российской Федерации. Все поставляемые материалы и оборудование должны иметь соответствующие сертификаты соответствия (в случае если они подлежат сертификации с требованиями действующего законодательства),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Копии этих документов, заверенные Подрядчиком, должны быть представлены заказчику за 5 (пять) рабочих дней до начала производства работ, выполняемых с использованием этих материалов и оборудования. Стоимость строительных материалов и изделий при составлении актов выполненных работ по форме КС-2 должна подтверждаться накладными и счетами-фактурами, которые представляются Заказчику вместе с актами выполненных работ.</w:t>
            </w:r>
          </w:p>
          <w:p w14:paraId="3E437F3E" w14:textId="77777777" w:rsidR="000E0549" w:rsidRDefault="000E0549" w:rsidP="004A5A7B">
            <w:pPr>
              <w:tabs>
                <w:tab w:val="left" w:pos="0"/>
              </w:tabs>
              <w:spacing w:after="0" w:line="240" w:lineRule="auto"/>
              <w:contextualSpacing/>
              <w:jc w:val="both"/>
            </w:pPr>
            <w:r>
              <w:t>Контроль качества материалов, используемых при выполнении работ, осуществлять в соответствии с приложением №1 к техническому заданию</w:t>
            </w:r>
          </w:p>
        </w:tc>
      </w:tr>
      <w:tr w:rsidR="000E0549" w14:paraId="02E08785" w14:textId="77777777" w:rsidTr="000E0549">
        <w:trPr>
          <w:trHeight w:val="1266"/>
        </w:trPr>
        <w:tc>
          <w:tcPr>
            <w:tcW w:w="1413" w:type="pct"/>
          </w:tcPr>
          <w:p w14:paraId="35FA388B" w14:textId="77777777" w:rsidR="000E0549" w:rsidRDefault="000E0549" w:rsidP="004A5A7B">
            <w:pPr>
              <w:tabs>
                <w:tab w:val="left" w:pos="993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t>9. Контроль качества и приёмка работ.</w:t>
            </w:r>
          </w:p>
          <w:p w14:paraId="5B57F10E" w14:textId="77777777" w:rsidR="000E0549" w:rsidRDefault="000E0549" w:rsidP="004A5A7B">
            <w:pPr>
              <w:spacing w:after="0" w:line="240" w:lineRule="auto"/>
            </w:pPr>
          </w:p>
        </w:tc>
        <w:tc>
          <w:tcPr>
            <w:tcW w:w="3587" w:type="pct"/>
          </w:tcPr>
          <w:p w14:paraId="57C787A4" w14:textId="77777777" w:rsidR="000E0549" w:rsidRDefault="000E0549" w:rsidP="004A5A7B">
            <w:pPr>
              <w:spacing w:after="0" w:line="240" w:lineRule="auto"/>
              <w:jc w:val="both"/>
            </w:pPr>
            <w:r>
              <w:t>Для проверки объёмов и качества выполненных работ представитель Заказчика уведомляется телефонограммой. Работы предъявляются Заказчику (представителю Заказчика) ежемесячно. Замер фактических объемов выполненных работ осуществляется Подрядчиком в присутствии представителя Заказчика путем обмеров площади асфальтируемых участков. Для определения толщины по необходимости произвести вырезку асфальтового покрытия. При проверке объемов и качества выполненных работ составляются акты обследования (приложение № 3 к техническому заданию) с приложением фотофиксации. Выявленные Заказчиком в ходе проверки дефекты и недостатки, устраняются Подрядчиком в сроки, установленные Заказчиком. Не подлежат приемке работы, не предъявленные Подрядчиком. Контроль качества строительно-монтажных работ при ремонте объекта осуществляется с целью обеспечения их полного соблюдения строительных норм и правил, стандартов и технических условий.</w:t>
            </w:r>
          </w:p>
          <w:p w14:paraId="1CAB8B74" w14:textId="77777777" w:rsidR="000E0549" w:rsidRDefault="000E0549" w:rsidP="004A5A7B">
            <w:pPr>
              <w:spacing w:after="0" w:line="240" w:lineRule="auto"/>
              <w:jc w:val="both"/>
            </w:pPr>
            <w:r>
              <w:t>Перечень работ по восстановлению асфальтового покрытия для осуществления контроля качества в приложении 2 к техническому заданию.</w:t>
            </w:r>
          </w:p>
          <w:p w14:paraId="7C1191B1" w14:textId="77777777" w:rsidR="000E0549" w:rsidRDefault="000E0549" w:rsidP="004A5A7B">
            <w:pPr>
              <w:spacing w:after="0" w:line="240" w:lineRule="auto"/>
              <w:jc w:val="both"/>
            </w:pPr>
            <w:r>
              <w:t xml:space="preserve">Производственный контроль качества строительно-монтажных работ должен включать входной контроль конструкций, изделий, материалов и оборудования; операционный контроль отдельных </w:t>
            </w:r>
            <w:r>
              <w:lastRenderedPageBreak/>
              <w:t>строительных процессов и приемочный контроль строительно-монтажных работ.</w:t>
            </w:r>
          </w:p>
          <w:p w14:paraId="490F281D" w14:textId="77777777" w:rsidR="000E0549" w:rsidRDefault="000E0549" w:rsidP="004A5A7B">
            <w:pPr>
              <w:spacing w:after="0" w:line="240" w:lineRule="auto"/>
              <w:jc w:val="both"/>
            </w:pPr>
            <w:r>
              <w:t>Контроль качества должен осуществляться в ходе выполнения строительных процессов и обеспечивать своевременное выявление дефектов и принятие мер по их устранению. При операционном контроле следует проверять соответствие выполняемых работ СНиП и стандартам.</w:t>
            </w:r>
          </w:p>
          <w:p w14:paraId="6582C144" w14:textId="77777777" w:rsidR="000E0549" w:rsidRDefault="000E0549" w:rsidP="004A5A7B">
            <w:pPr>
              <w:spacing w:after="0" w:line="240" w:lineRule="auto"/>
              <w:jc w:val="both"/>
            </w:pPr>
            <w:r>
              <w:t>При приемочном контроле необходимо производить проверку качества строительно-монтажных работ, а также принимаемых конструкций. Скрытые работы подлежат освидетельствованию с составлением актов. До приемки скрытых работ запрещается производить последующие работы. При приемочном контроле должна быть представлена следующая документация:</w:t>
            </w:r>
          </w:p>
          <w:p w14:paraId="643D3AA6" w14:textId="77777777" w:rsidR="000E0549" w:rsidRDefault="000E0549" w:rsidP="004A5A7B">
            <w:pPr>
              <w:spacing w:after="0" w:line="240" w:lineRule="auto"/>
              <w:jc w:val="both"/>
            </w:pPr>
            <w:r>
              <w:t>- исполнительные чертежи с внесенными отступлениями или изменениями и документы об их согласовании Заказчиком;</w:t>
            </w:r>
          </w:p>
          <w:p w14:paraId="1BFFD031" w14:textId="77777777" w:rsidR="000E0549" w:rsidRDefault="000E0549" w:rsidP="004A5A7B">
            <w:pPr>
              <w:spacing w:after="0" w:line="240" w:lineRule="auto"/>
              <w:jc w:val="both"/>
            </w:pPr>
            <w:r>
              <w:t>- заводские технические паспорта, сертификаты соответствия требованиям ГОСТ;</w:t>
            </w:r>
          </w:p>
          <w:p w14:paraId="3FE2B221" w14:textId="77777777" w:rsidR="000E0549" w:rsidRDefault="000E0549" w:rsidP="004A5A7B">
            <w:pPr>
              <w:spacing w:after="0" w:line="240" w:lineRule="auto"/>
              <w:jc w:val="both"/>
            </w:pPr>
            <w:r>
              <w:t>- акты приемки заводской инспекции на конструкции;</w:t>
            </w:r>
          </w:p>
          <w:p w14:paraId="76D87D04" w14:textId="77777777" w:rsidR="000E0549" w:rsidRDefault="000E0549" w:rsidP="004A5A7B">
            <w:pPr>
              <w:spacing w:after="0" w:line="240" w:lineRule="auto"/>
              <w:jc w:val="both"/>
            </w:pPr>
            <w:r>
              <w:t>-сертификаты, паспорта, удостоверяющие качество материалов, применяемых при производстве строительно-монтажных работ;</w:t>
            </w:r>
          </w:p>
          <w:p w14:paraId="6A410B45" w14:textId="77777777" w:rsidR="000E0549" w:rsidRDefault="000E0549" w:rsidP="004A5A7B">
            <w:pPr>
              <w:spacing w:after="0" w:line="240" w:lineRule="auto"/>
              <w:jc w:val="both"/>
            </w:pPr>
            <w:r>
              <w:t>- акты сдачи-приемки асфальтового покрытия с приложением схем;</w:t>
            </w:r>
          </w:p>
          <w:p w14:paraId="5C5A49FB" w14:textId="77777777" w:rsidR="000E0549" w:rsidRDefault="000E0549" w:rsidP="004A5A7B">
            <w:pPr>
              <w:spacing w:after="0" w:line="240" w:lineRule="auto"/>
              <w:jc w:val="both"/>
            </w:pPr>
            <w:r>
              <w:t xml:space="preserve">До ввода объекта в эксплуатацию и начала работы комиссий по приемке оформить реестрами и разработать следующие документы: </w:t>
            </w:r>
          </w:p>
          <w:p w14:paraId="0ED4FBF3" w14:textId="77777777" w:rsidR="000E0549" w:rsidRDefault="000E0549" w:rsidP="004A5A7B">
            <w:pPr>
              <w:spacing w:after="0" w:line="240" w:lineRule="auto"/>
            </w:pPr>
            <w:r>
              <w:t>- производственные журналы;</w:t>
            </w:r>
          </w:p>
          <w:p w14:paraId="1BD263FC" w14:textId="77777777" w:rsidR="000E0549" w:rsidRDefault="000E0549" w:rsidP="004A5A7B">
            <w:pPr>
              <w:spacing w:after="0" w:line="240" w:lineRule="auto"/>
            </w:pPr>
            <w:r>
              <w:t xml:space="preserve"> - акты рабочей и приемочной комиссий;</w:t>
            </w:r>
          </w:p>
          <w:p w14:paraId="715271B1" w14:textId="77777777" w:rsidR="000E0549" w:rsidRDefault="000E0549" w:rsidP="004A5A7B">
            <w:pPr>
              <w:spacing w:after="0" w:line="240" w:lineRule="auto"/>
              <w:jc w:val="both"/>
            </w:pPr>
            <w:r>
              <w:t>Все строительно-монтажные работы должны выполняться с соблюдением требований актуализированной редакции СНиП 12-03-2001 «Безопасность труда в строительстве», «Правил технической эксплуатации электроустановок потребителя», утвержденных Минэнерго, Требованиями пожарной безопасности по ГОСТ 12.1.004-91 и требованиями нормативно технической документации, являющейся неотъемлемой частью и приложением к договору.</w:t>
            </w:r>
          </w:p>
        </w:tc>
      </w:tr>
      <w:tr w:rsidR="000E0549" w14:paraId="2CDDE891" w14:textId="77777777" w:rsidTr="000E0549">
        <w:tc>
          <w:tcPr>
            <w:tcW w:w="1413" w:type="pct"/>
          </w:tcPr>
          <w:p w14:paraId="7ABBA24D" w14:textId="77777777" w:rsidR="000E0549" w:rsidRDefault="000E0549" w:rsidP="004A5A7B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lastRenderedPageBreak/>
              <w:t xml:space="preserve">10. Сроки выполнения работ </w:t>
            </w:r>
          </w:p>
        </w:tc>
        <w:tc>
          <w:tcPr>
            <w:tcW w:w="3587" w:type="pct"/>
          </w:tcPr>
          <w:p w14:paraId="0B4E4B88" w14:textId="77777777" w:rsidR="000E0549" w:rsidRDefault="000E0549" w:rsidP="004A5A7B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работ производится по заявкам Заказчика. Срок выполнения работ на участке (по заявке) 5 календарных дней, с момента выдачи заявки. Заявка должна содержать адрес выполнения работ. Заявка направляется одним из следующих способов:</w:t>
            </w:r>
          </w:p>
          <w:p w14:paraId="55B445A5" w14:textId="77777777" w:rsidR="000E0549" w:rsidRDefault="000E0549" w:rsidP="004A5A7B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путем направления сообщения на электронный адрес подрядчику, указанный в договоре;</w:t>
            </w:r>
          </w:p>
          <w:p w14:paraId="7FE0AF57" w14:textId="77777777" w:rsidR="000E0549" w:rsidRDefault="000E0549" w:rsidP="004A5A7B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путем направления сообщений в мессенджерах либо смс-сообщений или по эл. почте лица, ответственного за прием и исполнение заявок у Подрядчика</w:t>
            </w:r>
          </w:p>
          <w:p w14:paraId="69B3AC17" w14:textId="77777777" w:rsidR="000E0549" w:rsidRDefault="000E0549" w:rsidP="004A5A7B">
            <w:pPr>
              <w:spacing w:after="0" w:line="240" w:lineRule="auto"/>
              <w:jc w:val="both"/>
            </w:pPr>
            <w:r>
              <w:rPr>
                <w:lang w:eastAsia="ru-RU"/>
              </w:rPr>
              <w:t xml:space="preserve">Срок действия договора с момента заключения договора до 31.12.2024 г. </w:t>
            </w:r>
          </w:p>
        </w:tc>
      </w:tr>
      <w:tr w:rsidR="000E0549" w14:paraId="64E68C2B" w14:textId="77777777" w:rsidTr="000E0549">
        <w:tc>
          <w:tcPr>
            <w:tcW w:w="1413" w:type="pct"/>
          </w:tcPr>
          <w:p w14:paraId="582FBFF7" w14:textId="77777777" w:rsidR="000E0549" w:rsidRDefault="000E0549" w:rsidP="004A5A7B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>11. Гарантии на выполненные работы</w:t>
            </w:r>
          </w:p>
        </w:tc>
        <w:tc>
          <w:tcPr>
            <w:tcW w:w="3587" w:type="pct"/>
          </w:tcPr>
          <w:p w14:paraId="3AE456E6" w14:textId="77777777" w:rsidR="000E0549" w:rsidRDefault="000E0549" w:rsidP="004A5A7B">
            <w:pPr>
              <w:spacing w:after="0" w:line="240" w:lineRule="auto"/>
              <w:jc w:val="both"/>
            </w:pPr>
            <w:r>
              <w:t>Гарантия на выполненные работы составляет 2</w:t>
            </w:r>
            <w:r>
              <w:rPr>
                <w:rFonts w:eastAsia="Times New Roman"/>
              </w:rPr>
              <w:t xml:space="preserve"> года с даты подписания заказчиком Акта о приемке выполненных работ.</w:t>
            </w:r>
          </w:p>
        </w:tc>
      </w:tr>
    </w:tbl>
    <w:p w14:paraId="44EBA3BB" w14:textId="77777777" w:rsidR="001D3E48" w:rsidRDefault="001D3E48"/>
    <w:sectPr w:rsidR="001D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D0"/>
    <w:rsid w:val="000E0549"/>
    <w:rsid w:val="001D3E48"/>
    <w:rsid w:val="00F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6C85F-3B20-4018-8F31-6D7543A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49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2025-05-07T07:35:00Z</dcterms:created>
  <dcterms:modified xsi:type="dcterms:W3CDTF">2025-05-07T07:59:00Z</dcterms:modified>
</cp:coreProperties>
</file>