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Техническое задание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2"/>
        <w:numPr>
          <w:ilvl w:val="0"/>
          <w:numId w:val="3"/>
        </w:numPr>
        <w:pBdr/>
        <w:spacing/>
        <w:ind w:firstLine="0"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NSimSun" w:cs="Times New Roman"/>
          <w:b/>
          <w:bCs/>
          <w:sz w:val="24"/>
          <w:szCs w:val="24"/>
          <w:lang w:eastAsia="zh-CN"/>
        </w:rPr>
        <w:t xml:space="preserve">Токоподвод</w:t>
      </w:r>
      <w:r>
        <w:rPr>
          <w:rFonts w:ascii="Times New Roman" w:hAnsi="Times New Roman" w:eastAsia="NSimSu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NSimSun" w:cs="Times New Roman"/>
          <w:b/>
          <w:bCs/>
          <w:sz w:val="24"/>
          <w:szCs w:val="24"/>
          <w:lang w:eastAsia="zh-CN"/>
        </w:rPr>
        <w:t xml:space="preserve">углетканевый</w:t>
      </w:r>
      <w:r>
        <w:rPr>
          <w:rFonts w:ascii="Times New Roman" w:hAnsi="Times New Roman" w:eastAsia="NSimSun" w:cs="Times New Roman"/>
          <w:b/>
          <w:bCs/>
          <w:sz w:val="24"/>
          <w:szCs w:val="24"/>
          <w:lang w:eastAsia="zh-CN"/>
        </w:rPr>
        <w:t xml:space="preserve"> ОКПД2:</w:t>
      </w:r>
      <w:r>
        <w:rPr>
          <w:rFonts w:ascii="Times New Roman" w:hAnsi="Times New Roman" w:eastAsia="NSimSun" w:cs="Times New Roman"/>
          <w:b/>
          <w:bCs/>
          <w:sz w:val="24"/>
          <w:szCs w:val="24"/>
          <w:lang w:eastAsia="zh-CN"/>
        </w:rPr>
        <w:t xml:space="preserve"> </w:t>
      </w:r>
      <w:bookmarkStart w:id="0" w:name="_Hlk198633962"/>
      <w:r>
        <w:rPr>
          <w:rFonts w:ascii="Times New Roman" w:hAnsi="Times New Roman" w:eastAsia="NSimSun" w:cs="Times New Roman"/>
          <w:b/>
          <w:bCs/>
          <w:sz w:val="24"/>
          <w:szCs w:val="24"/>
          <w:lang w:eastAsia="zh-CN"/>
        </w:rPr>
        <w:t xml:space="preserve">32.50.13.190 ОГРАНИЧЕНИЕ</w:t>
      </w:r>
      <w:bookmarkEnd w:id="0"/>
      <w:r/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-176" w:type="dxa"/>
        <w:tblBorders/>
        <w:tblLayout w:type="fixed"/>
        <w:tblLook w:val="0000" w:firstRow="0" w:lastRow="0" w:firstColumn="0" w:lastColumn="0" w:noHBand="0" w:noVBand="0"/>
      </w:tblPr>
      <w:tblGrid>
        <w:gridCol w:w="710"/>
        <w:gridCol w:w="1842"/>
        <w:gridCol w:w="7656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Наименование товара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Описание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keepNext w:val="true"/>
              <w:widowControl w:val="false"/>
              <w:pBdr/>
              <w:spacing w:after="120" w:before="240" w:line="240" w:lineRule="auto"/>
              <w:ind/>
              <w:outlineLvl w:val="0"/>
              <w:rPr>
                <w:rFonts w:ascii="Times New Roman" w:hAnsi="Times New Roman" w:eastAsia="NSimSun" w:cs="Times New Roman"/>
                <w:b/>
                <w:bCs/>
                <w:sz w:val="24"/>
                <w:szCs w:val="24"/>
                <w:lang w:eastAsia="zh-CN"/>
              </w:rPr>
            </w:pPr>
            <w:r/>
            <w:bookmarkStart w:id="1" w:name="_Hlk198626845"/>
            <w:r>
              <w:rPr>
                <w:rFonts w:ascii="Times New Roman" w:hAnsi="Times New Roman" w:eastAsia="NSimSun" w:cs="Times New Roman"/>
                <w:b/>
                <w:bCs/>
                <w:sz w:val="24"/>
                <w:szCs w:val="24"/>
                <w:lang w:eastAsia="zh-CN"/>
              </w:rPr>
              <w:t xml:space="preserve">Токоподвод</w:t>
            </w:r>
            <w:r>
              <w:rPr>
                <w:rFonts w:ascii="Times New Roman" w:hAnsi="Times New Roman" w:eastAsia="NSimSu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NSimSun" w:cs="Times New Roman"/>
                <w:b/>
                <w:bCs/>
                <w:sz w:val="24"/>
                <w:szCs w:val="24"/>
                <w:lang w:eastAsia="zh-CN"/>
              </w:rPr>
              <w:t xml:space="preserve">углетканевый</w:t>
            </w:r>
            <w:bookmarkEnd w:id="1"/>
            <w:r/>
            <w:r>
              <w:rPr>
                <w:rFonts w:ascii="Times New Roman" w:hAnsi="Times New Roman" w:eastAsia="NSimSun" w:cs="Times New Roman"/>
                <w:b/>
                <w:bCs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6" w:type="dxa"/>
            <w:textDirection w:val="lrTb"/>
            <w:noWrap w:val="false"/>
          </w:tcPr>
          <w:p>
            <w:pPr>
              <w:widowControl w:val="false"/>
              <w:pBdr/>
              <w:spacing w:after="12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Токоподвод углетканевый (флажок) представляет собой штамповку из пластика с запрессованной углеродной тканью 20х30 мм и изолированным медным проводом.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br/>
              <w:t xml:space="preserve">Применяется при изготовлении каб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елей пациента для подключения электродов фланелевых с углеграфитовой тканью к аппаратному кабелю с целью уменьшения изнашивания углеграфитовой ткани и увеличения срока службы электродов с углеродной тканью. Переходное сопротивление контакта не более 15 ом.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</w:t>
      </w:r>
      <w:r>
        <w:rPr>
          <w:rFonts w:ascii="Times New Roman" w:hAnsi="Times New Roman" w:eastAsia="NSimSun" w:cs="Times New Roman"/>
          <w:b/>
          <w:bCs/>
          <w:sz w:val="24"/>
          <w:szCs w:val="24"/>
          <w:lang w:eastAsia="zh-CN"/>
        </w:rPr>
        <w:t xml:space="preserve"> Кипятильник дезинфекционный ДЗМО КДЭА 1-4 ОКПД2:</w:t>
      </w:r>
      <w:r>
        <w:rPr>
          <w:rFonts w:ascii="Times New Roman" w:hAnsi="Times New Roman" w:eastAsia="NSimSun" w:cs="Times New Roman"/>
          <w:b/>
          <w:bCs/>
          <w:sz w:val="24"/>
          <w:szCs w:val="24"/>
          <w:lang w:eastAsia="zh-CN"/>
        </w:rPr>
        <w:t xml:space="preserve">32.50.12.190 ОГРАНИЧЕНИЕ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-176" w:type="dxa"/>
        <w:tblBorders/>
        <w:tblLayout w:type="fixed"/>
        <w:tblLook w:val="0000" w:firstRow="0" w:lastRow="0" w:firstColumn="0" w:lastColumn="0" w:noHBand="0" w:noVBand="0"/>
      </w:tblPr>
      <w:tblGrid>
        <w:gridCol w:w="710"/>
        <w:gridCol w:w="1842"/>
        <w:gridCol w:w="3544"/>
        <w:gridCol w:w="4112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Наименование товара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Описание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keepNext w:val="true"/>
              <w:widowControl w:val="false"/>
              <w:pBdr/>
              <w:spacing w:after="120" w:before="240" w:line="240" w:lineRule="auto"/>
              <w:ind/>
              <w:outlineLvl w:val="0"/>
              <w:rPr>
                <w:rFonts w:ascii="Times New Roman" w:hAnsi="Times New Roman" w:eastAsia="NSimSu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NSimSun" w:cs="Times New Roman"/>
                <w:b/>
                <w:bCs/>
                <w:sz w:val="24"/>
                <w:szCs w:val="24"/>
                <w:lang w:eastAsia="zh-CN"/>
              </w:rPr>
              <w:t xml:space="preserve">Кипятильник дезинфекционный ДЗМО КДЭА 1-4</w:t>
            </w:r>
            <w:r>
              <w:rPr>
                <w:rFonts w:ascii="Times New Roman" w:hAnsi="Times New Roman" w:eastAsia="NSimSun" w:cs="Times New Roman"/>
                <w:b/>
                <w:bCs/>
                <w:sz w:val="24"/>
                <w:szCs w:val="24"/>
                <w:lang w:eastAsia="zh-C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6" w:type="dxa"/>
            <w:textDirection w:val="lrTb"/>
            <w:noWrap w:val="false"/>
          </w:tcPr>
          <w:p>
            <w:pPr>
              <w:widowControl w:val="false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leader="none" w:pos="0"/>
              </w:tabs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Предназначен для дезинфекции инструмента методом кипячения в дистиллированной воде и применяется в медицинских учреждениях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leader="none" w:pos="0"/>
              </w:tabs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Принцип работы кипятильника основан на электрическом нагреве и кипячении воды в ёмкости с размещённым в ней инструментом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leader="none" w:pos="0"/>
              </w:tabs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Корпус, лоток и крышка изготовлены из качественной немагнитной нержавеющей стали AISI толщиной 0,8 мм, основные детали и узлы кипятильника изготовлены из коррозионностойких материалов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leader="none" w:pos="0"/>
              </w:tabs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Укомплектован лотком с перфорацией диаметром 5 мм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leader="none" w:pos="0"/>
              </w:tabs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Лоток вынимается из кипятильника с помощью пластиковых захватов, что защищает медицинский персонал от возможности получения ожогов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leader="none" w:pos="0"/>
              </w:tabs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Электрическая часть состоит из коробки ввода с электрошнуром, предохранителями, индикатором и нагревательного устройства с термоограничителем, который срабатывает в случае выкипания воды и предотвращает возгорание кипятильника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leader="none" w:pos="0"/>
              </w:tabs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Электрошнур снабжён трёхполюсной вилкой с заземляющим контактом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leader="none" w:pos="0"/>
              </w:tabs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На корпусе размещены 4 ручки из полиэтилена, для избежания получения ожогов во время переноса кипятильника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leader="none" w:pos="0"/>
              </w:tabs>
              <w:spacing w:after="12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Имеет 4 ножки из нержавеющей стали высотой 15 мм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b/>
                <w:sz w:val="24"/>
                <w:szCs w:val="24"/>
                <w:lang w:eastAsia="zh-CN"/>
              </w:rPr>
              <w:t xml:space="preserve">Технические характеристики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1.1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Длина, мм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445±15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1.2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Ширина, мм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209±15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1.3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Высота, мм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197±10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1.4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Вместимость, л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4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1.5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Время нагрева для кипения, мин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30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1.6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Потребляемая мощность, ВА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1300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1.7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Электропитание, В/Гц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220/50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1.8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Класс и степень защиты от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поражения электрическим током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 В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1.9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Средний срок службы, лет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3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1.10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Вес, не более, кг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10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1.11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Регистрационное удостоверение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наличие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 Электрод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углетканевый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120х170 мм (204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кв.см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ОКПД2: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32.50.13.190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ГРАНИЧЕНИЕ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W w:w="1020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6976"/>
        <w:gridCol w:w="3231"/>
      </w:tblGrid>
      <w:tr>
        <w:trPr>
          <w:trHeight w:val="717"/>
        </w:trPr>
        <w:tc>
          <w:tcPr>
            <w:gridSpan w:val="2"/>
            <w:tcBorders/>
            <w:tcW w:w="10207" w:type="dxa"/>
            <w:textDirection w:val="lrTb"/>
            <w:noWrap w:val="false"/>
          </w:tcPr>
          <w:p>
            <w:pPr>
              <w:pBdr/>
              <w:spacing/>
              <w:ind w:right="216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Электрод для низкочастотных электротерапевтических процедур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/>
              <w:t xml:space="preserve">многослойный поверхностный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rPr>
          <w:trHeight w:val="467"/>
        </w:trPr>
        <w:tc>
          <w:tcPr>
            <w:tcBorders/>
            <w:tcW w:w="697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Количество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/>
            <w:tcW w:w="32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 менее______ штук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Borders/>
            <w:tcW w:w="697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Токораспределительный элемент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2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Углеродная ткань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</w:rPr>
            </w:r>
          </w:p>
        </w:tc>
      </w:tr>
      <w:tr>
        <w:trPr>
          <w:trHeight w:val="78"/>
        </w:trPr>
        <w:tc>
          <w:tcPr>
            <w:tcBorders/>
            <w:tcW w:w="697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Материал гидрофильной секции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/>
            <w:tcW w:w="32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Фланель отбеленная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97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Количество слоев ткани гидрофильной секции, не менее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/>
            <w:tcW w:w="32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97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Толщина гидрофильной секции, мм, не более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2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697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Толщина электрода в сборе, мм, не более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2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>
          <w:trHeight w:val="217"/>
        </w:trPr>
        <w:tc>
          <w:tcPr>
            <w:tcBorders/>
            <w:tcW w:w="697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/>
            <w:tcW w:w="32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Прямоугольная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97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Внешние размеры, мм, не более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2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6х120х170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>
          <w:trHeight w:val="222"/>
        </w:trPr>
        <w:tc>
          <w:tcPr>
            <w:tcBorders/>
            <w:tcW w:w="697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Размер прорези для подключения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токоподвода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мм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/>
            <w:tcW w:w="32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 менее 25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97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Возможность стерилизации кипячением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/>
            <w:tcW w:w="32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97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Необходимость специального оборудования для утилизации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/>
            <w:tcW w:w="32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отсутствие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>
          <w:trHeight w:val="1310"/>
        </w:trPr>
        <w:tc>
          <w:tcPr>
            <w:tcBorders/>
            <w:tcW w:w="697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Для подключения к электрической цепи применяется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2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Резиновые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токоподводы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 жестким лепестком для подпайки провода,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углетканевые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токоподводы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токоподвод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типа «флажок»),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токоподводы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из металла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>
          <w:trHeight w:val="663"/>
        </w:trPr>
        <w:tc>
          <w:tcPr>
            <w:tcBorders/>
            <w:tcW w:w="697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Устойчивость ткани к термической обработке - кипячению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/>
            <w:tcW w:w="32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>
          <w:trHeight w:val="803"/>
        </w:trPr>
        <w:tc>
          <w:tcPr>
            <w:shd w:val="clear" w:color="auto" w:fill="auto"/>
            <w:tcBorders/>
            <w:tcW w:w="697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Должен соответствовать требованиям нормативно-правовых актов (НПА), устанавливающих технические требования к товару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2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указать номер НПА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7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Регистрационное удостоверение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Наличие/Указать номер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>
          <w:trHeight w:val="7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7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Токсикологическое заключение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Наличие/Указать номер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>
          <w:trHeight w:val="7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7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Наименование производителя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Указать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Стеллаж передвижной </w:t>
      </w:r>
      <w:bookmarkStart w:id="2" w:name="_Hlk198634178"/>
      <w:r>
        <w:rPr>
          <w:rFonts w:ascii="Times New Roman" w:hAnsi="Times New Roman" w:cs="Times New Roman"/>
          <w:b/>
          <w:bCs/>
          <w:sz w:val="24"/>
          <w:szCs w:val="24"/>
        </w:rPr>
        <w:t xml:space="preserve">ОКПД2: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32.50.30.110 ЗАПРЕТ</w:t>
      </w:r>
      <w:bookmarkEnd w:id="2"/>
      <w:r/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W w:w="1020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3402"/>
        <w:gridCol w:w="142"/>
        <w:gridCol w:w="1843"/>
        <w:gridCol w:w="2269"/>
      </w:tblGrid>
      <w:tr>
        <w:trPr/>
        <w:tc>
          <w:tcPr>
            <w:shd w:val="clear" w:color="auto" w:fill="auto"/>
            <w:tcBorders/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Наименование товара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40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Технические характеристики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19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Показатели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tcBorders/>
            <w:tcW w:w="22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Обоснование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/>
                <w:sz w:val="24"/>
                <w:szCs w:val="24"/>
              </w:rPr>
              <w:t xml:space="preserve">Тележка медицинская универсальная</w:t>
            </w:r>
            <w:r>
              <w:rPr>
                <w:rFonts w:ascii="Times New Roman" w:hAnsi="Times New Roman" w:eastAsia="Andale Sans UI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Код КТРУ № 32.50.50.190-00001236  </w:t>
            </w:r>
            <w:r>
              <w:rPr>
                <w:rFonts w:ascii="Times New Roman" w:hAnsi="Times New Roman" w:eastAsia="Andale Sans UI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40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Тележка разработанная для транспортировки/поставки любых видов изделий, медицинского оборудования или поставок в пределах отдела или больницы. Она может иметь одну или несколько платформ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198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наличие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tcBorders/>
            <w:tcW w:w="226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Соответствует коду КТРУ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gridSpan w:val="5"/>
            <w:shd w:val="clear" w:color="auto" w:fill="auto"/>
            <w:tcBorders/>
            <w:tcW w:w="949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b/>
                <w:sz w:val="24"/>
                <w:szCs w:val="24"/>
              </w:rPr>
              <w:t xml:space="preserve">Технические характеристики, согласно КТРУ: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сведения отсутствуют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Габаритная длина, мм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≥ 644  и  ≤ 724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tcBorders/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1. Полки и стойки выполнены из  высококачественного ударостойкого  пластика, что гарантирует их  прочность, а также легкость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дезобработки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2. Размер и количество полок позволяет расположить на них большинство медицинских изделий, приборов, оборудования и лекарственных препаратов.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3.Расстояния между полками позволяют разместить на них медицинские и вспомогательные изделия различных размеров.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4.Предусмотренная величина нагрузочных характеристик на полки  обеспечивает их прочность и долговечность.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5.Диаметр колес обеспечивает легкость передвижения изделия, наличие тормозов позволяет надежно фиксировать его местоположение.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6. Белый цвет изделия является традиционным для здравоохранения,  не напрягает зрение персонала,  соответствует дизайну любого помещения.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7.Наличие  Регистрационного удостоверения является обязательным  требованием для медицинских изделий в РФ.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Габаритная ширина, мм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≥ 388  и  ≤ 448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tcBorders/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Полки, шт.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tcBorders/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1.3.1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Размеры полки: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Длина: не менее 580 мм и не более 640 мм.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 Ширина: не менее 370 мм и не более 410 мм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tcBorders/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1.3.2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Расстояние между нижней и средней полками, не менее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265 мм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tcBorders/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/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1.3.3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Расстояние между верхней  и средней полками, не менее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340 мм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tcBorders/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1.4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Стойки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наличие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tcBorders/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1.5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Материал полок и стоек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пластик белого цвета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tcBorders/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1.6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Номинальная нагрузка на тележку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Не менее 45 кг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tcBorders/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1.6.1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ab/>
              <w:t xml:space="preserve">Номинальная нагрузка на полку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Не менее 15 кг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tcBorders/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1.7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Колёсные опоры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не менее 4 шт.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tcBorders/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1.7.1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Не мене двух колесных опор должны быть снабжены тормозом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наличие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tcBorders/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1.7.2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Диаметр колеса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Не менее 50 мм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tcBorders/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1.8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Тележка должна быть устойчива к дезинфекции химическим методом в соответствии с МУ-287-113: 3% раствором перекиси водорода по ГОСТ 177-88 с добавлением 0,5% моющего средства типа «Лотос» по ГОСТ 25644-96 или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1% раствором хлорамина по ТУ9392-031-00203306-2003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наличие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tcBorders/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1.9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Календарный срок службы с начала эксплуатации до достижения предельного состояния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не менее 5 лет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tcBorders/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1.10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Гарантийный срок эксплуатации со дня отгрузки или продажи через розничную торговую сеть.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не менее 12 месяцев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tcBorders/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1.11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Регистрационное удостоверение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наличие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tcBorders/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1.12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/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На изделии должна быть маркировка, которая содержит: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  <w:p>
            <w:pPr>
              <w:widowControl w:val="false"/>
              <w:numPr>
                <w:ilvl w:val="0"/>
                <w:numId w:val="1"/>
              </w:numPr>
              <w:pBdr/>
              <w:spacing w:after="0" w:line="100" w:lineRule="atLeast"/>
              <w:ind/>
              <w:rPr>
                <w:rFonts w:ascii="Times New Roman" w:hAnsi="Times New Roman" w:eastAsia="Andale Sans UI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iCs/>
                <w:color w:val="000000"/>
                <w:sz w:val="24"/>
                <w:szCs w:val="24"/>
              </w:rPr>
              <w:t xml:space="preserve">наименование изделия</w:t>
            </w:r>
            <w:r>
              <w:rPr>
                <w:rFonts w:ascii="Times New Roman" w:hAnsi="Times New Roman" w:eastAsia="Andale Sans UI" w:cs="Times New Roman"/>
                <w:iCs/>
                <w:color w:val="000000"/>
                <w:sz w:val="24"/>
                <w:szCs w:val="24"/>
              </w:rPr>
            </w:r>
          </w:p>
          <w:p>
            <w:pPr>
              <w:widowControl w:val="false"/>
              <w:numPr>
                <w:ilvl w:val="0"/>
                <w:numId w:val="1"/>
              </w:numPr>
              <w:pBdr/>
              <w:spacing w:after="0" w:line="100" w:lineRule="atLeast"/>
              <w:ind/>
              <w:rPr>
                <w:rFonts w:ascii="Times New Roman" w:hAnsi="Times New Roman" w:eastAsia="Andale Sans U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iCs/>
                <w:sz w:val="24"/>
                <w:szCs w:val="24"/>
              </w:rPr>
              <w:t xml:space="preserve">обозначение технических условий</w:t>
            </w:r>
            <w:r>
              <w:rPr>
                <w:rFonts w:ascii="Times New Roman" w:hAnsi="Times New Roman" w:eastAsia="Andale Sans UI" w:cs="Times New Roman"/>
                <w:iCs/>
                <w:sz w:val="24"/>
                <w:szCs w:val="24"/>
              </w:rPr>
            </w:r>
          </w:p>
          <w:p>
            <w:pPr>
              <w:widowControl w:val="false"/>
              <w:numPr>
                <w:ilvl w:val="0"/>
                <w:numId w:val="1"/>
              </w:numPr>
              <w:pBdr/>
              <w:spacing w:after="0" w:line="100" w:lineRule="atLeast"/>
              <w:ind/>
              <w:rPr>
                <w:rFonts w:ascii="Times New Roman" w:hAnsi="Times New Roman" w:eastAsia="Andale Sans U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iCs/>
                <w:sz w:val="24"/>
                <w:szCs w:val="24"/>
              </w:rPr>
              <w:t xml:space="preserve">наименование предприятия-изготовителя</w:t>
            </w:r>
            <w:r>
              <w:rPr>
                <w:rFonts w:ascii="Times New Roman" w:hAnsi="Times New Roman" w:eastAsia="Andale Sans UI" w:cs="Times New Roman"/>
                <w:iCs/>
                <w:sz w:val="24"/>
                <w:szCs w:val="24"/>
              </w:rPr>
            </w:r>
          </w:p>
          <w:p>
            <w:pPr>
              <w:widowControl w:val="false"/>
              <w:numPr>
                <w:ilvl w:val="0"/>
                <w:numId w:val="1"/>
              </w:numPr>
              <w:pBdr/>
              <w:spacing w:after="0" w:line="100" w:lineRule="atLeast"/>
              <w:ind/>
              <w:rPr>
                <w:rFonts w:ascii="Times New Roman" w:hAnsi="Times New Roman" w:eastAsia="Andale Sans U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iCs/>
                <w:sz w:val="24"/>
                <w:szCs w:val="24"/>
              </w:rPr>
              <w:t xml:space="preserve">год и месяц выпуска</w:t>
            </w:r>
            <w:r>
              <w:rPr>
                <w:rFonts w:ascii="Times New Roman" w:hAnsi="Times New Roman" w:eastAsia="Andale Sans UI" w:cs="Times New Roman"/>
                <w:iCs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4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наличие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  <w:tc>
          <w:tcPr>
            <w:tcBorders/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</w:t>
      </w:r>
      <w:r>
        <w:rPr>
          <w:rFonts w:ascii="Times New Roman" w:hAnsi="Times New Roman" w:eastAsia="NSimSun" w:cs="Times New Roman"/>
          <w:b/>
          <w:bCs/>
          <w:sz w:val="24"/>
          <w:szCs w:val="24"/>
          <w:lang w:eastAsia="zh-CN"/>
        </w:rPr>
        <w:t xml:space="preserve"> Шкаф медицинский металлический</w:t>
      </w:r>
      <w:r>
        <w:rPr>
          <w:rFonts w:ascii="Times New Roman" w:hAnsi="Times New Roman" w:eastAsia="NSimSu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ОКПД2: 32.50.30.110 ЗАПРЕТ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-176" w:type="dxa"/>
        <w:tblBorders/>
        <w:tblLayout w:type="fixed"/>
        <w:tblLook w:val="0000" w:firstRow="0" w:lastRow="0" w:firstColumn="0" w:lastColumn="0" w:noHBand="0" w:noVBand="0"/>
      </w:tblPr>
      <w:tblGrid>
        <w:gridCol w:w="710"/>
        <w:gridCol w:w="1842"/>
        <w:gridCol w:w="3544"/>
        <w:gridCol w:w="4112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Наименование товара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Описание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keepNext w:val="true"/>
              <w:widowControl w:val="false"/>
              <w:pBdr/>
              <w:spacing w:after="120" w:before="240" w:line="240" w:lineRule="auto"/>
              <w:ind/>
              <w:outlineLvl w:val="0"/>
              <w:rPr>
                <w:rFonts w:ascii="Times New Roman" w:hAnsi="Times New Roman" w:eastAsia="NSimSu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NSimSun" w:cs="Times New Roman"/>
                <w:b/>
                <w:bCs/>
                <w:sz w:val="24"/>
                <w:szCs w:val="24"/>
                <w:lang w:eastAsia="zh-CN"/>
              </w:rPr>
              <w:t xml:space="preserve">Шкаф медицинский металлический ШМ-02 МСК-648.02</w:t>
            </w:r>
            <w:r>
              <w:rPr>
                <w:rFonts w:ascii="Times New Roman" w:hAnsi="Times New Roman" w:eastAsia="NSimSun" w:cs="Times New Roman"/>
                <w:b/>
                <w:bCs/>
                <w:sz w:val="24"/>
                <w:szCs w:val="24"/>
                <w:lang w:eastAsia="zh-C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6" w:type="dxa"/>
            <w:textDirection w:val="lrTb"/>
            <w:noWrap w:val="false"/>
          </w:tcPr>
          <w:p>
            <w:pPr>
              <w:widowControl w:val="false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leader="none" w:pos="0"/>
              </w:tabs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Шкаф медицинский металлический ШМ-02 МСК-648.02 предназначен для размещения и хранения лекарственных препаратов, перевязочных материалов, шприцев, инструментов, лотков и других медицинских изделий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numPr>
                <w:ilvl w:val="0"/>
                <w:numId w:val="4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leader="none" w:pos="0"/>
              </w:tabs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Используется для оснащения смотровых, процедурных, перевязочных кабинетов, постов медицинских сестер, реанимационных палат в лечебных и лечебно-профилактических учреждениях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numPr>
                <w:ilvl w:val="0"/>
                <w:numId w:val="4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leader="none" w:pos="0"/>
              </w:tabs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Шкаф выполнен из листовой стали с нанесением экологически чистого полимерного покрытия, устойчивого к дезинфицирующим средствам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numPr>
                <w:ilvl w:val="0"/>
                <w:numId w:val="4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leader="none" w:pos="0"/>
              </w:tabs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В верхней части: двухстворчатая стеклянная дверца и две стеклянных полки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numPr>
                <w:ilvl w:val="0"/>
                <w:numId w:val="4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leader="none" w:pos="0"/>
              </w:tabs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В нижней части: двухстворчатая запираемая металлическая дверца и две металлических полки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numPr>
                <w:ilvl w:val="0"/>
                <w:numId w:val="4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leader="none" w:pos="0"/>
              </w:tabs>
              <w:spacing w:after="12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Поставляется в разобранном виде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b/>
                <w:sz w:val="24"/>
                <w:szCs w:val="24"/>
                <w:lang w:eastAsia="zh-CN"/>
              </w:rPr>
              <w:t xml:space="preserve">Технические характеристики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1.1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Ширина, мм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800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1.2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Глубина, мм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400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1.3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Высота, мм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1750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1.4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Вес, не более, кг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50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1.5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Конструкция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разборная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1.6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Материал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металл 0,8 мм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1.7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Тип покрытия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полимерно-порошковое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1.8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Цвет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белый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1.9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Дверки (верх/низ)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2 стекло/2 металл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1.10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Полки (верх/низ)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2 стекло/2 металл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1.11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Нагрузка на полку (стекло), не более, кг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10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1.12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Нагрузка на полку (металл), не более, кг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15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1.13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Замок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мебельный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1.14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Опоры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регулируемые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1.15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Гарантия производителя, мес.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12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1.16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Регистрационное удостоверение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наличие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</w:tbl>
    <w:p>
      <w:pPr>
        <w:widowControl w:val="false"/>
        <w:pBdr/>
        <w:spacing w:after="0" w:line="240" w:lineRule="auto"/>
        <w:ind/>
        <w:rPr>
          <w:rFonts w:ascii="Times New Roman" w:hAnsi="Times New Roman" w:eastAsia="Andale Sans UI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Andale Sans UI" w:cs="Times New Roman"/>
          <w:b/>
          <w:bCs/>
          <w:sz w:val="24"/>
          <w:szCs w:val="24"/>
          <w:lang w:eastAsia="zh-CN"/>
        </w:rPr>
      </w:r>
      <w:r>
        <w:rPr>
          <w:rFonts w:ascii="Times New Roman" w:hAnsi="Times New Roman" w:eastAsia="Andale Sans UI" w:cs="Times New Roman"/>
          <w:b/>
          <w:bCs/>
          <w:sz w:val="24"/>
          <w:szCs w:val="24"/>
          <w:lang w:eastAsia="zh-CN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eastAsia="Andale Sans UI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Andale Sans UI" w:cs="Times New Roman"/>
          <w:b/>
          <w:bCs/>
          <w:sz w:val="24"/>
          <w:szCs w:val="24"/>
          <w:lang w:eastAsia="zh-CN"/>
        </w:rPr>
      </w:r>
      <w:r>
        <w:rPr>
          <w:rFonts w:ascii="Times New Roman" w:hAnsi="Times New Roman" w:eastAsia="Andale Sans UI" w:cs="Times New Roman"/>
          <w:b/>
          <w:bCs/>
          <w:sz w:val="24"/>
          <w:szCs w:val="24"/>
          <w:lang w:eastAsia="zh-CN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eastAsia="Andale Sans UI" w:cs="Times New Roman"/>
          <w:sz w:val="24"/>
          <w:szCs w:val="24"/>
          <w:lang w:eastAsia="zh-CN"/>
        </w:rPr>
      </w:pPr>
      <w:r>
        <w:rPr>
          <w:rFonts w:ascii="Times New Roman" w:hAnsi="Times New Roman" w:eastAsia="Andale Sans UI" w:cs="Times New Roman"/>
          <w:b/>
          <w:bCs/>
          <w:sz w:val="24"/>
          <w:szCs w:val="24"/>
          <w:lang w:eastAsia="zh-CN"/>
        </w:rPr>
        <w:t xml:space="preserve">6.</w:t>
      </w:r>
      <w:r>
        <w:rPr>
          <w:rFonts w:ascii="Times New Roman" w:hAnsi="Times New Roman" w:eastAsia="NSimSun" w:cs="Times New Roman"/>
          <w:b/>
          <w:bCs/>
          <w:sz w:val="24"/>
          <w:szCs w:val="24"/>
          <w:lang w:eastAsia="zh-CN"/>
        </w:rPr>
        <w:t xml:space="preserve"> Клапан-тройник для масок к галоингалятору</w:t>
      </w:r>
      <w:r>
        <w:rPr>
          <w:rFonts w:ascii="Times New Roman" w:hAnsi="Times New Roman" w:eastAsia="NSimSun" w:cs="Times New Roman"/>
          <w:b/>
          <w:bCs/>
          <w:sz w:val="24"/>
          <w:szCs w:val="24"/>
          <w:lang w:eastAsia="zh-CN"/>
        </w:rPr>
        <w:t xml:space="preserve">  </w:t>
      </w:r>
      <w:bookmarkStart w:id="3" w:name="_Hlk198634339"/>
      <w:r>
        <w:rPr>
          <w:rFonts w:ascii="Times New Roman" w:hAnsi="Times New Roman" w:eastAsia="NSimSun" w:cs="Times New Roman"/>
          <w:b/>
          <w:bCs/>
          <w:sz w:val="24"/>
          <w:szCs w:val="24"/>
          <w:lang w:eastAsia="zh-CN"/>
        </w:rPr>
        <w:t xml:space="preserve">ОКПД2:32.50.21.129 </w:t>
      </w:r>
      <w:bookmarkEnd w:id="3"/>
      <w:r>
        <w:rPr>
          <w:rFonts w:ascii="Times New Roman" w:hAnsi="Times New Roman" w:eastAsia="NSimSun" w:cs="Times New Roman"/>
          <w:b/>
          <w:bCs/>
          <w:sz w:val="24"/>
          <w:szCs w:val="24"/>
          <w:lang w:eastAsia="zh-CN"/>
        </w:rPr>
        <w:t xml:space="preserve">ГРАНИЧЕНИЕ</w:t>
      </w:r>
      <w:r>
        <w:rPr>
          <w:rFonts w:ascii="Times New Roman" w:hAnsi="Times New Roman" w:eastAsia="Andale Sans UI" w:cs="Times New Roman"/>
          <w:sz w:val="24"/>
          <w:szCs w:val="24"/>
          <w:lang w:eastAsia="zh-CN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eastAsia="Andale Sans UI" w:cs="Times New Roman"/>
          <w:sz w:val="24"/>
          <w:szCs w:val="24"/>
          <w:lang w:eastAsia="zh-CN"/>
        </w:rPr>
      </w:pPr>
      <w:r>
        <w:rPr>
          <w:rFonts w:ascii="Times New Roman" w:hAnsi="Times New Roman" w:eastAsia="Andale Sans UI" w:cs="Times New Roman"/>
          <w:sz w:val="24"/>
          <w:szCs w:val="24"/>
          <w:lang w:eastAsia="zh-CN"/>
        </w:rPr>
      </w:r>
      <w:r>
        <w:rPr>
          <w:rFonts w:ascii="Times New Roman" w:hAnsi="Times New Roman" w:eastAsia="Andale Sans UI" w:cs="Times New Roman"/>
          <w:sz w:val="24"/>
          <w:szCs w:val="24"/>
          <w:lang w:eastAsia="zh-CN"/>
        </w:rPr>
      </w:r>
    </w:p>
    <w:tbl>
      <w:tblPr>
        <w:tblW w:w="0" w:type="auto"/>
        <w:tblInd w:w="-176" w:type="dxa"/>
        <w:tblBorders/>
        <w:tblLayout w:type="fixed"/>
        <w:tblLook w:val="0000" w:firstRow="0" w:lastRow="0" w:firstColumn="0" w:lastColumn="0" w:noHBand="0" w:noVBand="0"/>
      </w:tblPr>
      <w:tblGrid>
        <w:gridCol w:w="710"/>
        <w:gridCol w:w="1842"/>
        <w:gridCol w:w="7656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Наименование товара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Описание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keepNext w:val="true"/>
              <w:widowControl w:val="false"/>
              <w:pBdr/>
              <w:spacing w:after="120" w:before="240" w:line="240" w:lineRule="auto"/>
              <w:ind/>
              <w:outlineLvl w:val="0"/>
              <w:rPr>
                <w:rFonts w:ascii="Times New Roman" w:hAnsi="Times New Roman" w:eastAsia="NSimSu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NSimSun" w:cs="Times New Roman"/>
                <w:b/>
                <w:bCs/>
                <w:sz w:val="24"/>
                <w:szCs w:val="24"/>
                <w:lang w:eastAsia="zh-CN"/>
              </w:rPr>
              <w:t xml:space="preserve">Клапан-тройник для масок к галоингалятору ГИСА-01 </w:t>
            </w:r>
            <w:r>
              <w:rPr>
                <w:rFonts w:ascii="Times New Roman" w:hAnsi="Times New Roman" w:eastAsia="NSimSun" w:cs="Times New Roman"/>
                <w:b/>
                <w:bCs/>
                <w:sz w:val="24"/>
                <w:szCs w:val="24"/>
                <w:lang w:eastAsia="zh-CN"/>
              </w:rPr>
              <w:t xml:space="preserve">Галонеб</w:t>
            </w:r>
            <w:r>
              <w:rPr>
                <w:rFonts w:ascii="Times New Roman" w:hAnsi="Times New Roman" w:eastAsia="NSimSun" w:cs="Times New Roman"/>
                <w:b/>
                <w:bCs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6" w:type="dxa"/>
            <w:textDirection w:val="lrTb"/>
            <w:noWrap w:val="false"/>
          </w:tcPr>
          <w:p>
            <w:pPr>
              <w:widowControl w:val="false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leader="none" w:pos="0"/>
              </w:tabs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b/>
                <w:bCs/>
                <w:sz w:val="24"/>
                <w:szCs w:val="24"/>
                <w:lang w:eastAsia="zh-CN"/>
              </w:rPr>
              <w:t xml:space="preserve">Переходник для подключения масок к солевому ингалятору ГИСА-01.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</w:tbl>
    <w:p>
      <w:pPr>
        <w:widowControl w:val="false"/>
        <w:pBdr/>
        <w:spacing w:after="0" w:line="240" w:lineRule="auto"/>
        <w:ind/>
        <w:rPr>
          <w:rFonts w:ascii="Times New Roman" w:hAnsi="Times New Roman" w:eastAsia="Andale Sans UI" w:cs="Times New Roman"/>
          <w:sz w:val="24"/>
          <w:szCs w:val="24"/>
          <w:lang w:eastAsia="zh-CN"/>
        </w:rPr>
      </w:pPr>
      <w:r>
        <w:rPr>
          <w:rFonts w:ascii="Times New Roman" w:hAnsi="Times New Roman" w:eastAsia="Andale Sans UI" w:cs="Times New Roman"/>
          <w:sz w:val="24"/>
          <w:szCs w:val="24"/>
          <w:lang w:eastAsia="zh-CN"/>
        </w:rPr>
      </w:r>
      <w:r>
        <w:rPr>
          <w:rFonts w:ascii="Times New Roman" w:hAnsi="Times New Roman" w:eastAsia="Andale Sans UI" w:cs="Times New Roman"/>
          <w:sz w:val="24"/>
          <w:szCs w:val="24"/>
          <w:lang w:eastAsia="zh-CN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Камера для распыления лекарств RF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Start w:id="4" w:name="_Hlk198634394"/>
      <w:r>
        <w:rPr>
          <w:rFonts w:ascii="Times New Roman" w:hAnsi="Times New Roman" w:cs="Times New Roman"/>
          <w:b/>
          <w:bCs/>
          <w:sz w:val="24"/>
          <w:szCs w:val="24"/>
        </w:rPr>
        <w:t xml:space="preserve">ОКПД2:32.50.21.129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ОГРАНИЧЕНИЕ</w:t>
      </w:r>
      <w:bookmarkEnd w:id="4"/>
      <w:r/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W w:w="0" w:type="auto"/>
        <w:tblInd w:w="-176" w:type="dxa"/>
        <w:tblBorders/>
        <w:tblLayout w:type="fixed"/>
        <w:tblLook w:val="0000" w:firstRow="0" w:lastRow="0" w:firstColumn="0" w:lastColumn="0" w:noHBand="0" w:noVBand="0"/>
      </w:tblPr>
      <w:tblGrid>
        <w:gridCol w:w="710"/>
        <w:gridCol w:w="1842"/>
        <w:gridCol w:w="3544"/>
        <w:gridCol w:w="4112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Наименование товара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Описание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keepNext w:val="true"/>
              <w:widowControl w:val="false"/>
              <w:pBdr/>
              <w:spacing w:after="120" w:before="240" w:line="240" w:lineRule="auto"/>
              <w:ind/>
              <w:outlineLvl w:val="0"/>
              <w:rPr>
                <w:rFonts w:ascii="Times New Roman" w:hAnsi="Times New Roman" w:eastAsia="NSimSu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NSimSun" w:cs="Times New Roman"/>
                <w:b/>
                <w:bCs/>
                <w:sz w:val="24"/>
                <w:szCs w:val="24"/>
                <w:lang w:eastAsia="zh-CN"/>
              </w:rPr>
              <w:t xml:space="preserve">Камера для распыления лекарств RF 2 (Рапидфлаем-2) для ингаляторов</w:t>
            </w:r>
            <w:r>
              <w:rPr>
                <w:rFonts w:ascii="Times New Roman" w:hAnsi="Times New Roman" w:eastAsia="NSimSun" w:cs="Times New Roman"/>
                <w:b/>
                <w:bCs/>
                <w:sz w:val="24"/>
                <w:szCs w:val="24"/>
                <w:lang w:eastAsia="zh-C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6" w:type="dxa"/>
            <w:textDirection w:val="lrTb"/>
            <w:noWrap w:val="false"/>
          </w:tcPr>
          <w:p>
            <w:pPr>
              <w:widowControl w:val="false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leader="none" w:pos="0"/>
              </w:tabs>
              <w:spacing w:after="0" w:line="240" w:lineRule="auto"/>
              <w:ind/>
              <w:rPr>
                <w:rFonts w:ascii="Times New Roman" w:hAnsi="Times New Roman" w:eastAsia="Andale Sans UI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Камера распылительная для ингаляторов (небулайзеров) производства Флаем Нуова (Италия) (сосуд для распыления лекарств), артикул RF2.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br/>
              <w:t xml:space="preserve">Аналогичные названия: небулайзерная камера Рапидфлаем-2 (RapidFlaem-2), резервуар к ингалятору, колба для распыления лекарственных средств, камера аэрозольная распылительная.</w:t>
            </w:r>
            <w:r>
              <w:rPr>
                <w:rFonts w:ascii="Times New Roman" w:hAnsi="Times New Roman" w:eastAsia="Andale Sans UI" w:cs="Times New Roman"/>
                <w:b/>
                <w:bCs/>
                <w:sz w:val="24"/>
                <w:szCs w:val="24"/>
                <w:lang w:eastAsia="zh-CN"/>
              </w:rPr>
            </w:r>
          </w:p>
          <w:p>
            <w:pPr>
              <w:keepNext w:val="true"/>
              <w:widowControl w:val="false"/>
              <w:pBdr/>
              <w:spacing w:after="150" w:before="300" w:line="240" w:lineRule="auto"/>
              <w:ind/>
              <w:outlineLvl w:val="1"/>
              <w:rPr>
                <w:rFonts w:ascii="Times New Roman" w:hAnsi="Times New Roman" w:eastAsia="NSimSu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NSimSun" w:cs="Times New Roman"/>
                <w:b/>
                <w:bCs/>
                <w:sz w:val="24"/>
                <w:szCs w:val="24"/>
                <w:lang w:eastAsia="zh-CN"/>
              </w:rPr>
              <w:t xml:space="preserve">Двухрежимный распылитель камеры «Рапидфлаем-2» позволяет поочередно делать ингаляции нижних и верхних дыхательных путей:</w:t>
            </w:r>
            <w:r>
              <w:rPr>
                <w:rFonts w:ascii="Times New Roman" w:hAnsi="Times New Roman" w:eastAsia="NSimSun" w:cs="Times New Roman"/>
                <w:b/>
                <w:bCs/>
                <w:sz w:val="24"/>
                <w:szCs w:val="24"/>
                <w:lang w:eastAsia="zh-CN"/>
              </w:rPr>
            </w:r>
          </w:p>
          <w:p>
            <w:pPr>
              <w:widowControl w:val="false"/>
              <w:numPr>
                <w:ilvl w:val="0"/>
                <w:numId w:val="4"/>
              </w:numPr>
              <w:pBdr/>
              <w:tabs>
                <w:tab w:val="left" w:leader="none" w:pos="0"/>
                <w:tab w:val="num" w:leader="none" w:pos="709"/>
              </w:tabs>
              <w:spacing w:after="150" w:line="240" w:lineRule="auto"/>
              <w:ind w:left="709"/>
              <w:jc w:val="both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в 1-м режиме с помощью формирования аэрозоля с размером частиц от 0,8 до 2 мкм проводят ингаляции нижних дыхательных путей;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numPr>
                <w:ilvl w:val="0"/>
                <w:numId w:val="4"/>
              </w:numPr>
              <w:pBdr/>
              <w:tabs>
                <w:tab w:val="left" w:leader="none" w:pos="0"/>
                <w:tab w:val="num" w:leader="none" w:pos="709"/>
              </w:tabs>
              <w:spacing w:after="150" w:line="240" w:lineRule="auto"/>
              <w:ind w:left="709"/>
              <w:jc w:val="both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во 2-ом режиме  формируется аэрозоль с размером частиц от 2 до 10 мкм, что позволяет проводить ингаляции средних и верхних дыхательных путей одновременно (гортани, глотки, трахеи, бронхов). 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pBdr/>
              <w:spacing w:after="15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Распылительная колба выполнена из твердой прозрачной нетоксичной поликарбонатной пластмассы. В нижнюю часть колбы заливается лекарство и надевается разбивающая лекарство насадка, а к верхней могут присоединяться маски и носовые канюли.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pBdr/>
              <w:spacing w:after="15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Также вверху находится закрываемое отверстие, предназначенное для доставки лекарства в верхние или средние дыхательные пути, в зависимости от заболевания. С закрытым отверстием (1 режим) расход лекарства составляет около 0,25 мл/мин (28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минут ингаляции). Когда отверстие открыто (2 режим) аэрозольный поток становится сильнее за счет дополнительного притока воздуха, что дает 14 минут ингаляции с полным небулайзером (0,51 мл/мин). Максимально в камеру можно залить 7 мл лекарственных средств.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pBdr/>
              <w:spacing w:after="15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Будьте внимательны при использовании камеры - распылительная камера RF2 не крепится на корпус прибора и лекарство может пролиться.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2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Регистрационное удостоверение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наличие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</w:tbl>
    <w:p>
      <w:pPr>
        <w:widowControl w:val="false"/>
        <w:pBdr/>
        <w:spacing w:after="0" w:line="240" w:lineRule="auto"/>
        <w:ind/>
        <w:rPr>
          <w:rFonts w:ascii="Times New Roman" w:hAnsi="Times New Roman" w:eastAsia="Andale Sans UI" w:cs="Times New Roman"/>
          <w:sz w:val="24"/>
          <w:szCs w:val="24"/>
          <w:lang w:eastAsia="zh-CN"/>
        </w:rPr>
      </w:pPr>
      <w:r>
        <w:rPr>
          <w:rFonts w:ascii="Times New Roman" w:hAnsi="Times New Roman" w:eastAsia="Andale Sans UI" w:cs="Times New Roman"/>
          <w:sz w:val="24"/>
          <w:szCs w:val="24"/>
          <w:lang w:eastAsia="zh-CN"/>
        </w:rPr>
      </w:r>
      <w:r>
        <w:rPr>
          <w:rFonts w:ascii="Times New Roman" w:hAnsi="Times New Roman" w:eastAsia="Andale Sans UI" w:cs="Times New Roman"/>
          <w:sz w:val="24"/>
          <w:szCs w:val="24"/>
          <w:lang w:eastAsia="zh-CN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Маска к ингалятору ПАРИ пластмассовая для взрослых (многоразовая)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ОКПД2:32.50.21.129 ОГРАНИЧЕНИЕ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pPr w:horzAnchor="margin" w:tblpXSpec="left" w:vertAnchor="text" w:tblpY="445" w:leftFromText="180" w:topFromText="0" w:rightFromText="180" w:bottomFromText="0"/>
        <w:tblW w:w="10060" w:type="dxa"/>
        <w:tblBorders/>
        <w:tblLayout w:type="fixed"/>
        <w:tblLook w:val="0000" w:firstRow="0" w:lastRow="0" w:firstColumn="0" w:lastColumn="0" w:noHBand="0" w:noVBand="0"/>
      </w:tblPr>
      <w:tblGrid>
        <w:gridCol w:w="791"/>
        <w:gridCol w:w="4704"/>
        <w:gridCol w:w="2835"/>
        <w:gridCol w:w="1730"/>
      </w:tblGrid>
      <w:tr>
        <w:trPr>
          <w:trHeight w:val="68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8330" w:type="dxa"/>
            <w:textDirection w:val="lrTb"/>
            <w:noWrap w:val="false"/>
          </w:tcPr>
          <w:p>
            <w:pPr>
              <w:pBdr/>
              <w:tabs>
                <w:tab w:val="num" w:leader="none" w:pos="48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Технические характеристики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Примечание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8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04" w:type="dxa"/>
            <w:textDirection w:val="lrTb"/>
            <w:noWrap w:val="false"/>
          </w:tcPr>
          <w:p>
            <w:pPr>
              <w:pBdr/>
              <w:tabs>
                <w:tab w:val="num" w:leader="none" w:pos="48"/>
              </w:tabs>
              <w:spacing w:after="0" w:line="240" w:lineRule="auto"/>
              <w:ind w:left="48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Наименование: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Bdr/>
              <w:tabs>
                <w:tab w:val="num" w:leader="none" w:pos="48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Маска  для взрослых  пластмассовая  многоразовая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04" w:type="dxa"/>
            <w:textDirection w:val="lrTb"/>
            <w:noWrap w:val="false"/>
          </w:tcPr>
          <w:p>
            <w:pPr>
              <w:pBdr/>
              <w:tabs>
                <w:tab w:val="num" w:leader="none" w:pos="48"/>
              </w:tabs>
              <w:spacing w:after="0" w:line="240" w:lineRule="auto"/>
              <w:ind w:left="48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Назначение: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Bdr/>
              <w:tabs>
                <w:tab w:val="num" w:leader="none" w:pos="48"/>
              </w:tabs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Применяется для ингаляций взрослых пациентов  в сочетании с небулайзерами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  <w:t xml:space="preserve">PARI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1.3.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0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Производитель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PARI GmbH (Германия)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 xml:space="preserve">1.4.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0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  <w:t xml:space="preserve">Технические характеристики: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1.4.1.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04" w:type="dxa"/>
            <w:textDirection w:val="lrTb"/>
            <w:noWrap w:val="false"/>
          </w:tcPr>
          <w:p>
            <w:pPr>
              <w:pBdr/>
              <w:tabs>
                <w:tab w:val="num" w:leader="none" w:pos="48"/>
              </w:tabs>
              <w:spacing w:after="0" w:line="240" w:lineRule="auto"/>
              <w:ind w:left="48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Материал 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Полипропилен, термопластик эластомер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1.4.2.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04" w:type="dxa"/>
            <w:textDirection w:val="lrTb"/>
            <w:noWrap w:val="false"/>
          </w:tcPr>
          <w:p>
            <w:pPr>
              <w:pBdr/>
              <w:tabs>
                <w:tab w:val="num" w:leader="none" w:pos="48"/>
              </w:tabs>
              <w:spacing w:after="200" w:line="276" w:lineRule="auto"/>
              <w:ind w:left="48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  <w:t xml:space="preserve">Химическая дезинфекция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  <w:t xml:space="preserve">Наличие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04" w:type="dxa"/>
            <w:textDirection w:val="lrTb"/>
            <w:noWrap w:val="false"/>
          </w:tcPr>
          <w:p>
            <w:pPr>
              <w:pBdr/>
              <w:tabs>
                <w:tab w:val="num" w:leader="none" w:pos="48"/>
              </w:tabs>
              <w:spacing w:after="200" w:line="276" w:lineRule="auto"/>
              <w:ind w:left="48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de-DE" w:eastAsia="ar-SA"/>
              </w:rPr>
              <w:t xml:space="preserve">Термическая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de-DE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de-DE" w:eastAsia="ar-SA"/>
              </w:rPr>
              <w:t xml:space="preserve">дезинфекция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(кипячением )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  <w:t xml:space="preserve">Наличие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04" w:type="dxa"/>
            <w:textDirection w:val="lrTb"/>
            <w:noWrap w:val="false"/>
          </w:tcPr>
          <w:p>
            <w:pPr>
              <w:pBdr/>
              <w:tabs>
                <w:tab w:val="num" w:leader="none" w:pos="48"/>
              </w:tabs>
              <w:spacing w:after="200" w:line="276" w:lineRule="auto"/>
              <w:ind w:left="48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  <w:t xml:space="preserve">Автоклавирование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  <w:t xml:space="preserve"> при t до 134°С, с использованием стабилизатора маски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  <w:t xml:space="preserve">Наличие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1.4.3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04" w:type="dxa"/>
            <w:textDirection w:val="lrTb"/>
            <w:noWrap w:val="false"/>
          </w:tcPr>
          <w:p>
            <w:pPr>
              <w:pBdr/>
              <w:tabs>
                <w:tab w:val="num" w:leader="none" w:pos="48"/>
              </w:tabs>
              <w:spacing w:after="200" w:line="276" w:lineRule="auto"/>
              <w:ind w:left="48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  <w:t xml:space="preserve">Возможность подключения к небулайзерам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ar-SA"/>
              </w:rPr>
              <w:t xml:space="preserve">PARI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ar-SA"/>
              </w:rPr>
              <w:t xml:space="preserve">GmbH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  <w:t xml:space="preserve">Наличие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1.4.4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04" w:type="dxa"/>
            <w:textDirection w:val="lrTb"/>
            <w:noWrap w:val="false"/>
          </w:tcPr>
          <w:p>
            <w:pPr>
              <w:pBdr/>
              <w:tabs>
                <w:tab w:val="num" w:leader="none" w:pos="48"/>
              </w:tabs>
              <w:spacing w:after="200" w:line="276" w:lineRule="auto"/>
              <w:ind w:left="48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  <w:t xml:space="preserve">Габариты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  <w:t xml:space="preserve">7х12х10 см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1.4.5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04" w:type="dxa"/>
            <w:textDirection w:val="lrTb"/>
            <w:noWrap w:val="false"/>
          </w:tcPr>
          <w:p>
            <w:pPr>
              <w:pBdr/>
              <w:tabs>
                <w:tab w:val="num" w:leader="none" w:pos="48"/>
              </w:tabs>
              <w:spacing w:after="200" w:line="276" w:lineRule="auto"/>
              <w:ind w:left="48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  <w:t xml:space="preserve">Клапан выдоха из силикона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  <w:t xml:space="preserve">наличие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Насадка для гидротерапии десен с двумя рядами отверстий НДО-02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ОКПД2: 32.50.50.190 ЗАПРЕТ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W w:w="10057" w:type="dxa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2328"/>
        <w:gridCol w:w="1836"/>
        <w:gridCol w:w="4027"/>
      </w:tblGrid>
      <w:tr>
        <w:trPr>
          <w:tblCellSpacing w:w="0" w:type="dxa"/>
        </w:trPr>
        <w:tc>
          <w:tcPr>
            <w:shd w:val="clear" w:color="auto" w:fill="ffffff"/>
            <w:tcBorders/>
            <w:tcW w:w="1755" w:type="dxa"/>
            <w:textDirection w:val="lrTb"/>
            <w:noWrap w:val="false"/>
          </w:tcPr>
          <w:p>
            <w:pPr>
              <w:pBdr/>
              <w:spacing w:after="255" w:before="255" w:line="240" w:lineRule="auto"/>
              <w:ind w:right="255" w:left="25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Обозначение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/>
            <w:tcW w:w="2348" w:type="dxa"/>
            <w:textDirection w:val="lrTb"/>
            <w:noWrap w:val="false"/>
          </w:tcPr>
          <w:p>
            <w:pPr>
              <w:pBdr/>
              <w:spacing w:after="255" w:before="255" w:line="240" w:lineRule="auto"/>
              <w:ind w:right="255" w:left="25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Габаритные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размеры,мм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/>
            <w:tcW w:w="1843" w:type="dxa"/>
            <w:textDirection w:val="lrTb"/>
            <w:noWrap w:val="false"/>
          </w:tcPr>
          <w:p>
            <w:pPr>
              <w:pBdr/>
              <w:spacing w:after="255" w:before="255" w:line="240" w:lineRule="auto"/>
              <w:ind w:right="255" w:left="25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Число отверстий,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/>
            <w:tcW w:w="4111" w:type="dxa"/>
            <w:textDirection w:val="lrTb"/>
            <w:noWrap w:val="false"/>
          </w:tcPr>
          <w:p>
            <w:pPr>
              <w:pBdr/>
              <w:spacing w:after="255" w:before="255" w:line="240" w:lineRule="auto"/>
              <w:ind w:right="255" w:left="25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отверстий, мм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shd w:val="clear" w:color="auto" w:fill="ffffff"/>
            <w:tcBorders/>
            <w:tcW w:w="1755" w:type="dxa"/>
            <w:textDirection w:val="lrTb"/>
            <w:noWrap w:val="false"/>
          </w:tcPr>
          <w:p>
            <w:pPr>
              <w:pBdr/>
              <w:spacing w:after="255" w:before="255" w:line="240" w:lineRule="auto"/>
              <w:ind w:right="255" w:left="25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НОД-02 (два ряда отверстий)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/>
            <w:tcW w:w="2348" w:type="dxa"/>
            <w:textDirection w:val="lrTb"/>
            <w:noWrap w:val="false"/>
          </w:tcPr>
          <w:p>
            <w:pPr>
              <w:pBdr/>
              <w:spacing w:after="255" w:before="255" w:line="240" w:lineRule="auto"/>
              <w:ind w:right="255" w:left="25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75х65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/>
            <w:tcW w:w="1843" w:type="dxa"/>
            <w:textDirection w:val="lrTb"/>
            <w:noWrap w:val="false"/>
          </w:tcPr>
          <w:p>
            <w:pPr>
              <w:pBdr/>
              <w:spacing w:after="255" w:before="255" w:line="240" w:lineRule="auto"/>
              <w:ind w:right="255" w:left="25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/>
            <w:tcW w:w="4111" w:type="dxa"/>
            <w:textDirection w:val="lrTb"/>
            <w:noWrap w:val="false"/>
          </w:tcPr>
          <w:p>
            <w:pPr>
              <w:pBdr/>
              <w:spacing w:after="255" w:before="255" w:line="240" w:lineRule="auto"/>
              <w:ind w:right="255" w:left="25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Насадка для гидротерапии десен с ОДНИМ рядом отверстий НОД-01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/>
      <w:bookmarkStart w:id="5" w:name="_Hlk198634619"/>
      <w:r>
        <w:rPr>
          <w:rFonts w:ascii="Times New Roman" w:hAnsi="Times New Roman" w:cs="Times New Roman"/>
          <w:b/>
          <w:bCs/>
          <w:sz w:val="24"/>
          <w:szCs w:val="24"/>
        </w:rPr>
        <w:t xml:space="preserve">ОКПД2: 32.50.50.190 ЗАПРЕТ</w:t>
      </w:r>
      <w:bookmarkEnd w:id="5"/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W w:w="10057" w:type="dxa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2348"/>
        <w:gridCol w:w="1843"/>
        <w:gridCol w:w="4111"/>
      </w:tblGrid>
      <w:tr>
        <w:trPr>
          <w:tblCellSpacing w:w="0" w:type="dxa"/>
        </w:trPr>
        <w:tc>
          <w:tcPr>
            <w:shd w:val="clear" w:color="auto" w:fill="ffffff"/>
            <w:tcBorders/>
            <w:tcW w:w="175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Обозначение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/>
            <w:tcW w:w="2348" w:type="dxa"/>
            <w:textDirection w:val="lrTb"/>
            <w:noWrap w:val="false"/>
          </w:tcPr>
          <w:p>
            <w:pPr>
              <w:pBdr/>
              <w:spacing w:after="255" w:before="255" w:line="240" w:lineRule="auto"/>
              <w:ind w:right="255" w:left="25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Габаритные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размеры,мм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/>
            <w:tcW w:w="1843" w:type="dxa"/>
            <w:textDirection w:val="lrTb"/>
            <w:noWrap w:val="false"/>
          </w:tcPr>
          <w:p>
            <w:pPr>
              <w:pBdr/>
              <w:spacing w:after="255" w:before="255" w:line="240" w:lineRule="auto"/>
              <w:ind w:right="255" w:left="25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Число отверстий,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/>
            <w:tcW w:w="4111" w:type="dxa"/>
            <w:textDirection w:val="lrTb"/>
            <w:noWrap w:val="false"/>
          </w:tcPr>
          <w:p>
            <w:pPr>
              <w:pBdr/>
              <w:spacing w:after="255" w:before="255" w:line="240" w:lineRule="auto"/>
              <w:ind w:right="255" w:left="25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Диаметр отверстий, мм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blCellSpacing w:w="0" w:type="dxa"/>
        </w:trPr>
        <w:tc>
          <w:tcPr>
            <w:shd w:val="clear" w:color="auto" w:fill="ffffff"/>
            <w:tcBorders/>
            <w:tcW w:w="1755" w:type="dxa"/>
            <w:textDirection w:val="lrTb"/>
            <w:noWrap w:val="false"/>
          </w:tcPr>
          <w:p>
            <w:pPr>
              <w:pBdr/>
              <w:spacing w:after="255" w:before="255" w:line="240" w:lineRule="auto"/>
              <w:ind w:right="255" w:left="25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НОД-01 (один ряд отверстий)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/>
            <w:tcW w:w="2348" w:type="dxa"/>
            <w:textDirection w:val="lrTb"/>
            <w:noWrap w:val="false"/>
          </w:tcPr>
          <w:p>
            <w:pPr>
              <w:pBdr/>
              <w:spacing w:after="255" w:before="255" w:line="240" w:lineRule="auto"/>
              <w:ind w:right="255" w:left="25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75х65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/>
            <w:tcW w:w="1843" w:type="dxa"/>
            <w:textDirection w:val="lrTb"/>
            <w:noWrap w:val="false"/>
          </w:tcPr>
          <w:p>
            <w:pPr>
              <w:pBdr/>
              <w:spacing w:after="255" w:before="255" w:line="240" w:lineRule="auto"/>
              <w:ind w:right="255" w:left="25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/>
            <w:tcW w:w="4111" w:type="dxa"/>
            <w:textDirection w:val="lrTb"/>
            <w:noWrap w:val="false"/>
          </w:tcPr>
          <w:p>
            <w:pPr>
              <w:pBdr/>
              <w:spacing w:after="255" w:before="255" w:line="240" w:lineRule="auto"/>
              <w:ind w:right="255" w:left="25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Камера ультрафиолетовая для хранения стерильных инструментов «УФК-2»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ОКПД2: 32.50.50.190 ЗАПРЕТ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W w:w="10037" w:type="dxa"/>
        <w:tblInd w:w="-5" w:type="dxa"/>
        <w:tblBorders/>
        <w:tblLayout w:type="fixed"/>
        <w:tblLook w:val="0000" w:firstRow="0" w:lastRow="0" w:firstColumn="0" w:lastColumn="0" w:noHBand="0" w:noVBand="0"/>
      </w:tblPr>
      <w:tblGrid>
        <w:gridCol w:w="539"/>
        <w:gridCol w:w="1842"/>
        <w:gridCol w:w="3544"/>
        <w:gridCol w:w="4112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Наименование товара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Описание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keepNext w:val="true"/>
              <w:widowControl w:val="false"/>
              <w:pBdr/>
              <w:spacing w:after="120" w:before="240" w:line="240" w:lineRule="auto"/>
              <w:ind/>
              <w:jc w:val="center"/>
              <w:outlineLvl w:val="0"/>
              <w:rPr>
                <w:rFonts w:ascii="Times New Roman" w:hAnsi="Times New Roman" w:eastAsia="NSimSu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NSimSun" w:cs="Times New Roman"/>
                <w:b/>
                <w:bCs/>
                <w:sz w:val="24"/>
                <w:szCs w:val="24"/>
                <w:lang w:eastAsia="zh-CN"/>
              </w:rPr>
              <w:t xml:space="preserve">Камера для стерильных инструментов УФК-2</w:t>
            </w:r>
            <w:r>
              <w:rPr>
                <w:rFonts w:ascii="Times New Roman" w:hAnsi="Times New Roman" w:eastAsia="NSimSun" w:cs="Times New Roman"/>
                <w:b/>
                <w:bCs/>
                <w:sz w:val="24"/>
                <w:szCs w:val="24"/>
                <w:lang w:eastAsia="zh-C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6" w:type="dxa"/>
            <w:textDirection w:val="lrTb"/>
            <w:noWrap w:val="false"/>
          </w:tcPr>
          <w:p>
            <w:pPr>
              <w:widowControl w:val="false"/>
              <w:pBdr/>
              <w:spacing w:after="12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Камера для стерильных инструментов УФК-2 (в исполнении КИУС.942729.001-07) предназначена для хранения предварительно простерилизованных медицинских инструментов с целью предотвращения их вторичной контаминации микроорганизмами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leader="none" w:pos="0"/>
              </w:tabs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Используется в операционных блоках, перевязочных кабинетах, роддомах, женских консультациях, стоматологических клиниках, кабинетах общего приема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leader="none" w:pos="0"/>
              </w:tabs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Камера УФК-2 устанавливается на ножках с 4 колесами Ø50 мм (2 с тормозом), что позволяет легко перемещать ее по помещению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leader="none" w:pos="0"/>
              </w:tabs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Металлический корпус камеры белого цвета, ножки тележки —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зеленые RAL6027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leader="none" w:pos="0"/>
              </w:tabs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Решетки выполнены из нержавеющей стали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leader="none" w:pos="0"/>
              </w:tabs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Высота от пола до камеры — 750 мм, высота от пола до полки тележки — 380 мм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leader="none" w:pos="0"/>
              </w:tabs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Прозрачная крышка позволяет визуально наблюдать расположение инструмента и материала внутри камеры, что повышает оперативность работы медицинского персонала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leader="none" w:pos="0"/>
              </w:tabs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Высокая дезинфекционная эффективность ультрафиолетовой среды в камере гарантирует стерильность содержимого внутреннего объема, что абсолютно невозможно в случае использования традиционной укладки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leader="none" w:pos="0"/>
              </w:tabs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Принцип работы камеры основан на бактерицидном действии УФ излучения бактерицидной лампы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leader="none" w:pos="0"/>
              </w:tabs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Ультрафиолетовое излучение с длиной волны 254 нм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leader="none" w:pos="0"/>
              </w:tabs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Лампа не продуцирует озон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leader="none" w:pos="0"/>
              </w:tabs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Стерильность инструмента сохраняется до 7 суток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leader="none" w:pos="0"/>
              </w:tabs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Камера, благодаря конструктивным особенностям решетки, на которой размещается инструмент, обладает в 4 раза большей вместимостью по сравнению с полками и тумбочками с УФ лампами, позволяя проводить непрерывный смешанный прием на протяжении 24 часов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leader="none" w:pos="0"/>
              </w:tabs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В положении «Открыто» крышка камеры полностью закрывает собой УФ лампу, обеспечивая безопасный для персонала доступ к стерильному инструменту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leader="none" w:pos="0"/>
              </w:tabs>
              <w:spacing w:after="12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Конструкция крышки камер исключает при закрытии перемешивание стерильного воздуха, находящегося внутри камеры, и нестерильного, находящегося снаружи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b/>
                <w:sz w:val="24"/>
                <w:szCs w:val="24"/>
                <w:lang w:eastAsia="zh-CN"/>
              </w:rPr>
              <w:t xml:space="preserve">Технические характеристики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1.1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Ширина, мм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670±15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1.2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Глубина, мм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632±15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1.3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Высота, мм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1180±15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1.4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Вес, кг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28±2,8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1.5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Исполнение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напольная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1.6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Объем, л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~100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1.7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Корпус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металл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1.8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Дверь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прозрачная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1.9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Цвет корпуса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белый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1.10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Опоры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4 колеса Ø50 мм( 2 с тормозом)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1.11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В комплекте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4 решетки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1.12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Источник излучения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УФ-лампа TUV15W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1.13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Количество ламп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1.14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Длина волны УФ-излучения,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нм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254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1.15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Срок службы ламп, ч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8000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1.16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Потребляемая мощность, не более, В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25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1.1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7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Сохранение стерильности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инструментов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до 7 суток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1.18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Время непрерывной работы, не более, ч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168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1.19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Наработка на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отказ,не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 менее, ч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2500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1.20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Электропитание, В/Гц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220/50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1.21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Гарантия производителя, мес.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12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1.22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Регистрационное удостоверение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наличие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1.23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Комплектация: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iCs/>
                <w:sz w:val="24"/>
                <w:szCs w:val="24"/>
                <w:lang w:eastAsia="zh-CN"/>
              </w:rPr>
              <w:t xml:space="preserve">- Камера УФК-2 — 1 шт.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- Решетка — 4 шт.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- Каркас тележки — 2 шт.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- Корзина (полка тележки) — 1 шт.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- Колеса Tente 1470 РАО 050 Р30-11 — 2 шт.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- Колеса Tente 1475 РАО 050 Р30-11 (с блокировкой движения) — 2 шт.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/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- Комплект фурнитуры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</w:r>
          </w:p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120" w:line="240" w:lineRule="auto"/>
              <w:ind/>
              <w:rPr>
                <w:rFonts w:ascii="Times New Roman" w:hAnsi="Times New Roman" w:eastAsia="Andale Sans UI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zh-CN"/>
              </w:rPr>
              <w:t xml:space="preserve">- Руководство по эксплуатации</w:t>
            </w:r>
            <w:r>
              <w:rPr>
                <w:rFonts w:ascii="Times New Roman" w:hAnsi="Times New Roman" w:eastAsia="Andale Sans UI" w:cs="Times New Roman"/>
                <w:iCs/>
                <w:sz w:val="24"/>
                <w:szCs w:val="24"/>
                <w:lang w:eastAsia="zh-CN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eastAsia="Andale Sans UI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imes New Roman"/>
                <w:iCs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Andale Sans UI" w:cs="Times New Roman"/>
                <w:iCs/>
                <w:sz w:val="24"/>
                <w:szCs w:val="24"/>
                <w:lang w:eastAsia="zh-CN"/>
              </w:rPr>
            </w:r>
          </w:p>
        </w:tc>
      </w:tr>
    </w:tbl>
    <w:p>
      <w:pPr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медсестра                                                                                                     Е.Ю. Вяткина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Заместитель директора-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Начальник медицинской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службы                                                            Н.В. Кривунова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sectPr>
      <w:headerReference w:type="default" r:id="rId9"/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ndale Sans UI">
    <w:panose1 w:val="05040102010807070707"/>
  </w:font>
  <w:font w:name="Times New Roman">
    <w:panose1 w:val="02020603050405020304"/>
  </w:font>
  <w:font w:name="OpenSymbol">
    <w:panose1 w:val="05010000000000000000"/>
  </w:font>
  <w:font w:name="Symbol">
    <w:panose1 w:val="05050102010706020507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pBdr/>
      <w:spacing/>
      <w:ind/>
      <w:rPr/>
    </w:pPr>
    <w:r/>
    <w:r/>
  </w:p>
  <w:p>
    <w:pPr>
      <w:pStyle w:val="723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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cs="OpenSymbol"/>
      </w:rPr>
      <w:start w:val="1"/>
      <w:suff w:val="tab"/>
    </w:lvl>
    <w:lvl w:ilvl="1">
      <w:isLgl w:val="false"/>
      <w:lvlJc w:val="left"/>
      <w:lvlText w:val="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ascii="Symbol" w:hAnsi="Symbol" w:cs="OpenSymbol"/>
      </w:rPr>
      <w:start w:val="1"/>
      <w:suff w:val="tab"/>
    </w:lvl>
    <w:lvl w:ilvl="2">
      <w:isLgl w:val="false"/>
      <w:lvlJc w:val="left"/>
      <w:lvlText w:val="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Symbol" w:hAnsi="Symbol" w:cs="OpenSymbol"/>
      </w:rPr>
      <w:start w:val="1"/>
      <w:suff w:val="tab"/>
    </w:lvl>
    <w:lvl w:ilvl="3">
      <w:isLgl w:val="false"/>
      <w:lvlJc w:val="left"/>
      <w:lvlText w:val="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ascii="Symbol" w:hAnsi="Symbol" w:cs="OpenSymbol"/>
      </w:rPr>
      <w:start w:val="1"/>
      <w:suff w:val="tab"/>
    </w:lvl>
    <w:lvl w:ilvl="4">
      <w:isLgl w:val="false"/>
      <w:lvlJc w:val="left"/>
      <w:lvlText w:val="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Symbol" w:hAnsi="Symbol" w:cs="OpenSymbol"/>
      </w:rPr>
      <w:start w:val="1"/>
      <w:suff w:val="tab"/>
    </w:lvl>
    <w:lvl w:ilvl="5">
      <w:isLgl w:val="false"/>
      <w:lvlJc w:val="left"/>
      <w:lvlText w:val="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ascii="Symbol" w:hAnsi="Symbol" w:cs="OpenSymbol"/>
      </w:rPr>
      <w:start w:val="1"/>
      <w:suff w:val="tab"/>
    </w:lvl>
    <w:lvl w:ilvl="6">
      <w:isLgl w:val="false"/>
      <w:lvlJc w:val="left"/>
      <w:lvlText w:val="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 w:cs="OpenSymbol"/>
      </w:rPr>
      <w:start w:val="1"/>
      <w:suff w:val="tab"/>
    </w:lvl>
    <w:lvl w:ilvl="7">
      <w:isLgl w:val="false"/>
      <w:lvlJc w:val="left"/>
      <w:lvlText w:val="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ascii="Symbol" w:hAnsi="Symbol" w:cs="OpenSymbol"/>
      </w:rPr>
      <w:start w:val="1"/>
      <w:suff w:val="tab"/>
    </w:lvl>
    <w:lvl w:ilvl="8">
      <w:isLgl w:val="false"/>
      <w:lvlJc w:val="left"/>
      <w:lvlText w:val="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Symbol" w:hAnsi="Symbol" w:cs="OpenSymbol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firstLine="0" w:left="0"/>
      </w:pPr>
      <w:rPr>
        <w:rFonts w:ascii="Symbol" w:hAnsi="Symbol" w:cs="OpenSymbol"/>
      </w:rPr>
      <w:start w:val="1"/>
      <w:suff w:val="nothing"/>
    </w:lvl>
    <w:lvl w:ilvl="1">
      <w:isLgl w:val="false"/>
      <w:lvlJc w:val="left"/>
      <w:lvlText w:val=""/>
      <w:numFmt w:val="bullet"/>
      <w:pPr>
        <w:pBdr/>
        <w:tabs>
          <w:tab w:val="num" w:leader="none" w:pos="1418"/>
        </w:tabs>
        <w:spacing/>
        <w:ind w:hanging="283" w:left="1418"/>
      </w:pPr>
      <w:rPr>
        <w:rFonts w:ascii="Symbol" w:hAnsi="Symbol" w:cs="OpenSymbol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2127"/>
        </w:tabs>
        <w:spacing/>
        <w:ind w:hanging="283" w:left="2127"/>
      </w:pPr>
      <w:rPr>
        <w:rFonts w:ascii="Symbol" w:hAnsi="Symbol" w:cs="OpenSymbol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36"/>
        </w:tabs>
        <w:spacing/>
        <w:ind w:hanging="283" w:left="2836"/>
      </w:pPr>
      <w:rPr>
        <w:rFonts w:ascii="Symbol" w:hAnsi="Symbol" w:cs="OpenSymbol"/>
      </w:rPr>
      <w:start w:val="1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3545"/>
        </w:tabs>
        <w:spacing/>
        <w:ind w:hanging="283" w:left="3545"/>
      </w:pPr>
      <w:rPr>
        <w:rFonts w:ascii="Symbol" w:hAnsi="Symbol" w:cs="OpenSymbol"/>
      </w:rPr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4254"/>
        </w:tabs>
        <w:spacing/>
        <w:ind w:hanging="283" w:left="4254"/>
      </w:pPr>
      <w:rPr>
        <w:rFonts w:ascii="Symbol" w:hAnsi="Symbol" w:cs="OpenSymbol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963"/>
        </w:tabs>
        <w:spacing/>
        <w:ind w:hanging="283" w:left="4963"/>
      </w:pPr>
      <w:rPr>
        <w:rFonts w:ascii="Symbol" w:hAnsi="Symbol" w:cs="OpenSymbol"/>
      </w:rPr>
      <w:start w:val="1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5672"/>
        </w:tabs>
        <w:spacing/>
        <w:ind w:hanging="283" w:left="5672"/>
      </w:pPr>
      <w:rPr>
        <w:rFonts w:ascii="Symbol" w:hAnsi="Symbol" w:cs="OpenSymbol"/>
      </w:rPr>
      <w:start w:val="1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6381"/>
        </w:tabs>
        <w:spacing/>
        <w:ind w:hanging="283" w:left="6381"/>
      </w:pPr>
      <w:rPr>
        <w:rFonts w:ascii="Symbol" w:hAnsi="Symbol" w:cs="OpenSymbol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firstLine="0" w:left="0"/>
      </w:pPr>
      <w:rPr>
        <w:rFonts w:ascii="Symbol" w:hAnsi="Symbol" w:cs="OpenSymbol"/>
      </w:rPr>
      <w:start w:val="1"/>
      <w:suff w:val="nothing"/>
    </w:lvl>
    <w:lvl w:ilvl="1">
      <w:isLgl w:val="false"/>
      <w:lvlJc w:val="left"/>
      <w:lvlText w:val=""/>
      <w:numFmt w:val="bullet"/>
      <w:pPr>
        <w:pBdr/>
        <w:tabs>
          <w:tab w:val="num" w:leader="none" w:pos="1418"/>
        </w:tabs>
        <w:spacing/>
        <w:ind w:hanging="283" w:left="1418"/>
      </w:pPr>
      <w:rPr>
        <w:rFonts w:ascii="Symbol" w:hAnsi="Symbol" w:cs="OpenSymbol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2127"/>
        </w:tabs>
        <w:spacing/>
        <w:ind w:hanging="283" w:left="2127"/>
      </w:pPr>
      <w:rPr>
        <w:rFonts w:ascii="Symbol" w:hAnsi="Symbol" w:cs="OpenSymbol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36"/>
        </w:tabs>
        <w:spacing/>
        <w:ind w:hanging="283" w:left="2836"/>
      </w:pPr>
      <w:rPr>
        <w:rFonts w:ascii="Symbol" w:hAnsi="Symbol" w:cs="OpenSymbol"/>
      </w:rPr>
      <w:start w:val="1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3545"/>
        </w:tabs>
        <w:spacing/>
        <w:ind w:hanging="283" w:left="3545"/>
      </w:pPr>
      <w:rPr>
        <w:rFonts w:ascii="Symbol" w:hAnsi="Symbol" w:cs="OpenSymbol"/>
      </w:rPr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4254"/>
        </w:tabs>
        <w:spacing/>
        <w:ind w:hanging="283" w:left="4254"/>
      </w:pPr>
      <w:rPr>
        <w:rFonts w:ascii="Symbol" w:hAnsi="Symbol" w:cs="OpenSymbol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963"/>
        </w:tabs>
        <w:spacing/>
        <w:ind w:hanging="283" w:left="4963"/>
      </w:pPr>
      <w:rPr>
        <w:rFonts w:ascii="Symbol" w:hAnsi="Symbol" w:cs="OpenSymbol"/>
      </w:rPr>
      <w:start w:val="1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5672"/>
        </w:tabs>
        <w:spacing/>
        <w:ind w:hanging="283" w:left="5672"/>
      </w:pPr>
      <w:rPr>
        <w:rFonts w:ascii="Symbol" w:hAnsi="Symbol" w:cs="OpenSymbol"/>
      </w:rPr>
      <w:start w:val="1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6381"/>
        </w:tabs>
        <w:spacing/>
        <w:ind w:hanging="283" w:left="6381"/>
      </w:pPr>
      <w:rPr>
        <w:rFonts w:ascii="Symbol" w:hAnsi="Symbol" w:cs="OpenSymbol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72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7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718"/>
    <w:next w:val="718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718"/>
    <w:next w:val="718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18"/>
    <w:next w:val="718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18"/>
    <w:next w:val="718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18"/>
    <w:next w:val="718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18"/>
    <w:next w:val="718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18"/>
    <w:next w:val="718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18"/>
    <w:next w:val="71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18"/>
    <w:next w:val="71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19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19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19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19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19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19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19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19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19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18"/>
    <w:next w:val="718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19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18"/>
    <w:next w:val="718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19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18"/>
    <w:next w:val="71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19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1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18"/>
    <w:next w:val="71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19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1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18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1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19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19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1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1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19"/>
    <w:link w:val="723"/>
    <w:uiPriority w:val="99"/>
    <w:pPr>
      <w:pBdr/>
      <w:spacing/>
      <w:ind/>
    </w:pPr>
  </w:style>
  <w:style w:type="character" w:styleId="178">
    <w:name w:val="Footer Char"/>
    <w:basedOn w:val="719"/>
    <w:link w:val="725"/>
    <w:uiPriority w:val="99"/>
    <w:pPr>
      <w:pBdr/>
      <w:spacing/>
      <w:ind/>
    </w:pPr>
  </w:style>
  <w:style w:type="paragraph" w:styleId="179">
    <w:name w:val="Caption"/>
    <w:basedOn w:val="718"/>
    <w:next w:val="71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18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19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19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1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19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19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1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1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718"/>
    <w:next w:val="718"/>
    <w:uiPriority w:val="39"/>
    <w:unhideWhenUsed/>
    <w:pPr>
      <w:pBdr/>
      <w:spacing w:after="100"/>
      <w:ind/>
    </w:pPr>
  </w:style>
  <w:style w:type="paragraph" w:styleId="189">
    <w:name w:val="toc 2"/>
    <w:basedOn w:val="718"/>
    <w:next w:val="718"/>
    <w:uiPriority w:val="39"/>
    <w:unhideWhenUsed/>
    <w:pPr>
      <w:pBdr/>
      <w:spacing w:after="100"/>
      <w:ind w:left="220"/>
    </w:pPr>
  </w:style>
  <w:style w:type="paragraph" w:styleId="190">
    <w:name w:val="toc 3"/>
    <w:basedOn w:val="718"/>
    <w:next w:val="718"/>
    <w:uiPriority w:val="39"/>
    <w:unhideWhenUsed/>
    <w:pPr>
      <w:pBdr/>
      <w:spacing w:after="100"/>
      <w:ind w:left="440"/>
    </w:pPr>
  </w:style>
  <w:style w:type="paragraph" w:styleId="191">
    <w:name w:val="toc 4"/>
    <w:basedOn w:val="718"/>
    <w:next w:val="718"/>
    <w:uiPriority w:val="39"/>
    <w:unhideWhenUsed/>
    <w:pPr>
      <w:pBdr/>
      <w:spacing w:after="100"/>
      <w:ind w:left="660"/>
    </w:pPr>
  </w:style>
  <w:style w:type="paragraph" w:styleId="192">
    <w:name w:val="toc 5"/>
    <w:basedOn w:val="718"/>
    <w:next w:val="718"/>
    <w:uiPriority w:val="39"/>
    <w:unhideWhenUsed/>
    <w:pPr>
      <w:pBdr/>
      <w:spacing w:after="100"/>
      <w:ind w:left="880"/>
    </w:pPr>
  </w:style>
  <w:style w:type="paragraph" w:styleId="193">
    <w:name w:val="toc 6"/>
    <w:basedOn w:val="718"/>
    <w:next w:val="718"/>
    <w:uiPriority w:val="39"/>
    <w:unhideWhenUsed/>
    <w:pPr>
      <w:pBdr/>
      <w:spacing w:after="100"/>
      <w:ind w:left="1100"/>
    </w:pPr>
  </w:style>
  <w:style w:type="paragraph" w:styleId="194">
    <w:name w:val="toc 7"/>
    <w:basedOn w:val="718"/>
    <w:next w:val="718"/>
    <w:uiPriority w:val="39"/>
    <w:unhideWhenUsed/>
    <w:pPr>
      <w:pBdr/>
      <w:spacing w:after="100"/>
      <w:ind w:left="1320"/>
    </w:pPr>
  </w:style>
  <w:style w:type="paragraph" w:styleId="195">
    <w:name w:val="toc 8"/>
    <w:basedOn w:val="718"/>
    <w:next w:val="718"/>
    <w:uiPriority w:val="39"/>
    <w:unhideWhenUsed/>
    <w:pPr>
      <w:pBdr/>
      <w:spacing w:after="100"/>
      <w:ind w:left="1540"/>
    </w:pPr>
  </w:style>
  <w:style w:type="paragraph" w:styleId="196">
    <w:name w:val="toc 9"/>
    <w:basedOn w:val="718"/>
    <w:next w:val="718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18"/>
    <w:next w:val="718"/>
    <w:uiPriority w:val="99"/>
    <w:unhideWhenUsed/>
    <w:pPr>
      <w:pBdr/>
      <w:spacing w:after="0" w:afterAutospacing="0"/>
      <w:ind/>
    </w:pPr>
  </w:style>
  <w:style w:type="paragraph" w:styleId="718" w:default="1">
    <w:name w:val="Normal"/>
    <w:qFormat/>
    <w:pPr>
      <w:pBdr/>
      <w:spacing/>
      <w:ind/>
    </w:pPr>
  </w:style>
  <w:style w:type="character" w:styleId="719" w:default="1">
    <w:name w:val="Default Paragraph Font"/>
    <w:uiPriority w:val="1"/>
    <w:semiHidden/>
    <w:unhideWhenUsed/>
    <w:pPr>
      <w:pBdr/>
      <w:spacing/>
      <w:ind/>
    </w:pPr>
  </w:style>
  <w:style w:type="table" w:styleId="72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1" w:default="1">
    <w:name w:val="No List"/>
    <w:uiPriority w:val="99"/>
    <w:semiHidden/>
    <w:unhideWhenUsed/>
    <w:pPr>
      <w:pBdr/>
      <w:spacing/>
      <w:ind/>
    </w:pPr>
  </w:style>
  <w:style w:type="paragraph" w:styleId="722">
    <w:name w:val="List Paragraph"/>
    <w:basedOn w:val="718"/>
    <w:uiPriority w:val="34"/>
    <w:qFormat/>
    <w:pPr>
      <w:pBdr/>
      <w:spacing/>
      <w:ind w:left="720"/>
      <w:contextualSpacing w:val="true"/>
    </w:pPr>
  </w:style>
  <w:style w:type="paragraph" w:styleId="723">
    <w:name w:val="Header"/>
    <w:basedOn w:val="718"/>
    <w:link w:val="724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724" w:customStyle="1">
    <w:name w:val="Верхний колонтитул Знак"/>
    <w:basedOn w:val="719"/>
    <w:link w:val="723"/>
    <w:uiPriority w:val="99"/>
    <w:pPr>
      <w:pBdr/>
      <w:spacing/>
      <w:ind/>
    </w:pPr>
  </w:style>
  <w:style w:type="paragraph" w:styleId="725">
    <w:name w:val="Footer"/>
    <w:basedOn w:val="718"/>
    <w:link w:val="72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726" w:customStyle="1">
    <w:name w:val="Нижний колонтитул Знак"/>
    <w:basedOn w:val="719"/>
    <w:link w:val="725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Привет</dc:creator>
  <cp:keywords/>
  <dc:description/>
  <cp:revision>5</cp:revision>
  <dcterms:created xsi:type="dcterms:W3CDTF">2025-05-20T05:24:00Z</dcterms:created>
  <dcterms:modified xsi:type="dcterms:W3CDTF">2025-05-21T07:38:41Z</dcterms:modified>
</cp:coreProperties>
</file>