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УТВЕРЖДЕНО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ООО «Санаторий «Тарханы»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Директор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 В.В. Михотин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 w:line="276" w:lineRule="auto"/>
        <w:ind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«</w:t>
      </w:r>
      <w:r>
        <w:rPr>
          <w:rFonts w:cs="Times New Roman"/>
          <w:sz w:val="20"/>
          <w:szCs w:val="20"/>
        </w:rPr>
        <w:t xml:space="preserve">20</w:t>
      </w:r>
      <w:r>
        <w:rPr>
          <w:rFonts w:cs="Times New Roman"/>
          <w:sz w:val="20"/>
          <w:szCs w:val="20"/>
        </w:rPr>
        <w:t xml:space="preserve">» ма</w:t>
      </w:r>
      <w:r>
        <w:rPr>
          <w:rFonts w:cs="Times New Roman"/>
          <w:sz w:val="20"/>
          <w:szCs w:val="20"/>
        </w:rPr>
        <w:t xml:space="preserve">я</w:t>
      </w:r>
      <w:r>
        <w:rPr>
          <w:rFonts w:cs="Times New Roman"/>
          <w:sz w:val="20"/>
          <w:szCs w:val="20"/>
        </w:rPr>
        <w:t xml:space="preserve"> 2025 г.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sz w:val="20"/>
          <w:szCs w:val="20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  <w:r>
        <w:rPr>
          <w:rFonts w:eastAsia="Times New Roman" w:cs="Times New Roman"/>
          <w:b/>
          <w:sz w:val="20"/>
          <w:szCs w:val="20"/>
          <w:lang w:eastAsia="ru-RU" w:bidi="ar-SA"/>
        </w:rPr>
      </w:r>
    </w:p>
    <w:p>
      <w:pPr>
        <w:pStyle w:val="976"/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о проведении запроса оферт в электронной форме, участниками которого могут быть только субъекты малого и среднего предпринимательства, на право заключения договора</w:t>
      </w:r>
      <w:r>
        <w:rPr>
          <w:sz w:val="20"/>
          <w:szCs w:val="20"/>
        </w:rPr>
        <w:br/>
        <w:t xml:space="preserve">на 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ыполнение работ по 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емонт</w:t>
      </w:r>
      <w:r>
        <w:rPr>
          <w:sz w:val="20"/>
          <w:szCs w:val="20"/>
        </w:rPr>
        <w:t xml:space="preserve">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системы отопления в кабинете грязелечения</w:t>
      </w:r>
      <w:r>
        <w:rPr>
          <w:sz w:val="20"/>
          <w:szCs w:val="20"/>
        </w:rPr>
        <w:t xml:space="preserve">, по адресу </w:t>
      </w:r>
      <w:r>
        <w:rPr>
          <w:rFonts w:cs="Times New Roman"/>
          <w:sz w:val="20"/>
          <w:szCs w:val="20"/>
        </w:rPr>
        <w:t xml:space="preserve">357500, Ставропольский край, город Пятигорск, улица Карла Маркса, 14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90"/>
        <w:pBdr/>
        <w:spacing/>
        <w:ind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Пятигорск,  202</w:t>
      </w:r>
      <w:r>
        <w:rPr>
          <w:rFonts w:cs="Times New Roman"/>
          <w:sz w:val="20"/>
          <w:szCs w:val="20"/>
        </w:rPr>
        <w:t xml:space="preserve">5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44" w:type="pct"/>
        <w:jc w:val="center"/>
        <w:tblBorders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5"/>
        <w:gridCol w:w="4561"/>
        <w:gridCol w:w="1963"/>
        <w:gridCol w:w="3702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7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7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77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форме, участниками которого могут быть только субъекты малого и среднего предпринимательства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«Санаторий «Тарханы»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/>
            <w:hyperlink r:id="rId15" w:tooltip="mailto:tarhani26@yandex.ru" w:history="1">
              <w:r>
                <w:rPr>
                  <w:rFonts w:cs="Times New Roman"/>
                  <w:sz w:val="20"/>
                  <w:szCs w:val="20"/>
                  <w:lang w:val="en-US"/>
                </w:rPr>
                <w:t xml:space="preserve">tarhani26@yandex.ru</w:t>
              </w:r>
            </w:hyperlink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Тел. 8 (8793) 317-950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ООО «Санаторий «Тарханы» (далее – Положение).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случае наличия п</w:t>
            </w:r>
            <w:r>
              <w:rPr>
                <w:sz w:val="20"/>
                <w:szCs w:val="20"/>
              </w:rPr>
              <w:t xml:space="preserve">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ыполнение работ по 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емонт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системы отопления в кабинете грязелечения</w:t>
            </w:r>
            <w:r>
              <w:rPr>
                <w:sz w:val="20"/>
                <w:szCs w:val="20"/>
              </w:rPr>
              <w:t xml:space="preserve">, по адресу </w:t>
            </w: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cs="Times New Roman"/>
                <w:sz w:val="20"/>
                <w:szCs w:val="20"/>
              </w:rPr>
              <w:t xml:space="preserve">техническ</w:t>
            </w:r>
            <w:r>
              <w:rPr>
                <w:rFonts w:cs="Times New Roman"/>
                <w:sz w:val="20"/>
                <w:szCs w:val="20"/>
              </w:rPr>
              <w:t xml:space="preserve">и</w:t>
            </w:r>
            <w:r>
              <w:rPr>
                <w:rFonts w:cs="Times New Roman"/>
                <w:sz w:val="20"/>
                <w:szCs w:val="20"/>
              </w:rPr>
              <w:t xml:space="preserve">м задани</w:t>
            </w:r>
            <w:r>
              <w:rPr>
                <w:rFonts w:cs="Times New Roman"/>
                <w:sz w:val="20"/>
                <w:szCs w:val="20"/>
              </w:rPr>
              <w:t xml:space="preserve">ем</w:t>
            </w:r>
            <w:r>
              <w:rPr>
                <w:rFonts w:cs="Times New Roman"/>
                <w:sz w:val="20"/>
                <w:szCs w:val="20"/>
              </w:rPr>
              <w:t xml:space="preserve">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  <w:t xml:space="preserve"> и с Локальн</w:t>
            </w:r>
            <w:r>
              <w:rPr>
                <w:rFonts w:cs="Times New Roman"/>
                <w:sz w:val="20"/>
                <w:szCs w:val="20"/>
              </w:rPr>
              <w:t xml:space="preserve">ым</w:t>
            </w:r>
            <w:r>
              <w:rPr>
                <w:rFonts w:cs="Times New Roman"/>
                <w:sz w:val="20"/>
                <w:szCs w:val="20"/>
              </w:rPr>
              <w:t xml:space="preserve"> сметным расчетом </w:t>
            </w:r>
            <w:r>
              <w:rPr>
                <w:rFonts w:cs="Times New Roman"/>
                <w:sz w:val="20"/>
                <w:szCs w:val="20"/>
              </w:rPr>
              <w:t xml:space="preserve"> (Приложение №</w:t>
            </w:r>
            <w:r>
              <w:rPr>
                <w:rFonts w:cs="Times New Roman"/>
                <w:sz w:val="20"/>
                <w:szCs w:val="20"/>
              </w:rPr>
              <w:t xml:space="preserve">4</w:t>
            </w:r>
            <w:r>
              <w:rPr>
                <w:rFonts w:cs="Times New Roman"/>
                <w:sz w:val="20"/>
                <w:szCs w:val="20"/>
              </w:rPr>
              <w:t xml:space="preserve"> к настоящему Извещению).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Место выполнения работ: </w:t>
            </w:r>
            <w:r>
              <w:rPr>
                <w:rFonts w:cs="Times New Roman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cs="Times New Roman"/>
                <w:iCs/>
                <w:sz w:val="20"/>
                <w:szCs w:val="20"/>
              </w:rPr>
            </w:r>
            <w:r>
              <w:rPr>
                <w:rFonts w:cs="Times New Roman"/>
                <w:i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Срок выполнения работ: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в течение 20 (двадцати)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рабочих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дней с даты 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заключения Договора</w:t>
            </w:r>
            <w:r>
              <w:rPr>
                <w:rFonts w:cs="Times New Roman"/>
                <w:iCs/>
                <w:sz w:val="20"/>
                <w:szCs w:val="20"/>
                <w:highlight w:val="yellow"/>
              </w:rPr>
              <w:t xml:space="preserve">.</w:t>
            </w:r>
            <w:r>
              <w:rPr>
                <w:rFonts w:cs="Times New Roman"/>
                <w:iCs/>
                <w:sz w:val="20"/>
                <w:szCs w:val="20"/>
              </w:rPr>
            </w:r>
            <w:r>
              <w:rPr>
                <w:rFonts w:cs="Times New Roman"/>
                <w:i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Условия выполнения работ: в соответствии </w:t>
            </w:r>
            <w:r>
              <w:rPr>
                <w:rFonts w:cs="Times New Roman"/>
                <w:iCs/>
                <w:sz w:val="20"/>
                <w:szCs w:val="20"/>
              </w:rPr>
              <w:t xml:space="preserve">с техническим заданием, Приложение №3 к настоящему извещению</w:t>
            </w:r>
            <w:r>
              <w:rPr>
                <w:rFonts w:cs="Times New Roman"/>
                <w:iCs/>
                <w:sz w:val="20"/>
                <w:szCs w:val="20"/>
              </w:rPr>
              <w:t xml:space="preserve"> и проектом Договора, Приложение №2 к настоящему извещению.</w:t>
            </w:r>
            <w:r>
              <w:rPr>
                <w:rFonts w:cs="Times New Roman"/>
                <w:iCs/>
                <w:sz w:val="20"/>
                <w:szCs w:val="20"/>
              </w:rPr>
            </w:r>
            <w:r>
              <w:rPr>
                <w:rFonts w:cs="Times New Roman"/>
                <w:iCs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0"/>
                <w:szCs w:val="20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119 364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</w:t>
            </w:r>
            <w:r>
              <w:rPr>
                <w:sz w:val="20"/>
                <w:szCs w:val="20"/>
                <w:lang w:eastAsia="ru-RU"/>
              </w:rPr>
              <w:t xml:space="preserve">Сто девятнадцать тысяч триста шестьдесят четыре</w:t>
            </w:r>
            <w:r>
              <w:rPr>
                <w:sz w:val="20"/>
                <w:szCs w:val="20"/>
                <w:lang w:eastAsia="ru-RU"/>
              </w:rPr>
              <w:t xml:space="preserve">) руб</w:t>
            </w:r>
            <w:r>
              <w:rPr>
                <w:sz w:val="20"/>
                <w:szCs w:val="20"/>
                <w:lang w:eastAsia="ru-RU"/>
              </w:rPr>
              <w:t xml:space="preserve">л</w:t>
            </w:r>
            <w:r>
              <w:rPr>
                <w:sz w:val="20"/>
                <w:szCs w:val="20"/>
                <w:lang w:eastAsia="ru-RU"/>
              </w:rPr>
              <w:t xml:space="preserve">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6</w:t>
            </w:r>
            <w:r>
              <w:rPr>
                <w:sz w:val="20"/>
                <w:szCs w:val="20"/>
                <w:lang w:eastAsia="ru-RU"/>
              </w:rPr>
              <w:t xml:space="preserve">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копе</w:t>
            </w:r>
            <w:r>
              <w:rPr>
                <w:sz w:val="20"/>
                <w:szCs w:val="20"/>
                <w:lang w:eastAsia="ru-RU"/>
              </w:rPr>
              <w:t xml:space="preserve">е</w:t>
            </w:r>
            <w:r>
              <w:rPr>
                <w:sz w:val="20"/>
                <w:szCs w:val="20"/>
                <w:lang w:eastAsia="ru-RU"/>
              </w:rPr>
              <w:t xml:space="preserve">к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, в т.ч. НДС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hd w:val="clear" w:color="auto" w:fill="ffffff"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Обоснование начальной (максимальной</w:t>
            </w:r>
            <w:r>
              <w:rPr>
                <w:rFonts w:cs="Times New Roman"/>
                <w:sz w:val="20"/>
                <w:szCs w:val="20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 цены договора представлено в Приложении № 4 к извещению о проведении запроса оферт</w:t>
            </w:r>
            <w:r>
              <w:rPr>
                <w:rFonts w:cs="Times New Roman"/>
                <w:sz w:val="20"/>
                <w:szCs w:val="20"/>
              </w:rPr>
              <w:t xml:space="preserve"> (Локальным сметным расчетом)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с учетом всех расходов, предусмотренных проектом договора, и налогов, подлежащих уплате в соответствии с нормами законодательства.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</w:t>
            </w:r>
            <w:r>
              <w:rPr>
                <w:rFonts w:cs="Times New Roman"/>
                <w:b/>
                <w:sz w:val="20"/>
                <w:szCs w:val="20"/>
              </w:rPr>
              <w:t xml:space="preserve">Федерации, установленного Центральным банком Российской Федерации и используемого 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Расчеты за работы производятся в следующем порядке: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- аванс в размере 30 (тридцати) процентов от цены Договора перечисляется на расчетный счет Подрядчика течение 7 рабочих дней с даты получения счета на оплату и на основании выставленного счета на оплату, но не позднее начала выполнения работ;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- оставшиеся 70 (семьдесят) процентов от цены Договора перечисляются на расчетный счет Подрядчика в течение 7 (семи) рабочих дней с даты подписания документа о приемке по факту выполнения работ, на основании выставленного Подрядчиком счета.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участниками могут быть только субъекты малого и среднего предпринимательства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04» </w:t>
            </w:r>
            <w:r>
              <w:rPr>
                <w:rFonts w:cs="Times New Roman"/>
                <w:sz w:val="20"/>
                <w:szCs w:val="20"/>
              </w:rPr>
              <w:t xml:space="preserve">июня</w:t>
            </w:r>
            <w:r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 xml:space="preserve">5</w:t>
            </w:r>
            <w:r>
              <w:rPr>
                <w:rFonts w:cs="Times New Roman"/>
                <w:sz w:val="20"/>
                <w:szCs w:val="20"/>
              </w:rPr>
              <w:t xml:space="preserve"> года, с момента публикации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05»</w:t>
            </w:r>
            <w:r>
              <w:rPr>
                <w:rFonts w:cs="Times New Roman"/>
                <w:sz w:val="20"/>
                <w:szCs w:val="20"/>
              </w:rPr>
              <w:t xml:space="preserve"> июня</w:t>
            </w:r>
            <w:r>
              <w:rPr>
                <w:rFonts w:cs="Times New Roman"/>
                <w:sz w:val="20"/>
                <w:szCs w:val="20"/>
              </w:rPr>
              <w:t xml:space="preserve"> 2025 </w:t>
            </w:r>
            <w:r>
              <w:rPr>
                <w:rFonts w:cs="Times New Roman"/>
                <w:sz w:val="20"/>
                <w:szCs w:val="20"/>
              </w:rPr>
              <w:t xml:space="preserve">года </w:t>
            </w:r>
            <w:r>
              <w:rPr>
                <w:rFonts w:cs="Times New Roman"/>
                <w:sz w:val="20"/>
                <w:szCs w:val="20"/>
              </w:rPr>
              <w:t xml:space="preserve">09</w:t>
            </w:r>
            <w:r>
              <w:rPr>
                <w:rFonts w:cs="Times New Roman"/>
                <w:sz w:val="20"/>
                <w:szCs w:val="20"/>
              </w:rPr>
              <w:t xml:space="preserve">:00 (</w:t>
            </w:r>
            <w:r>
              <w:rPr>
                <w:rFonts w:cs="Times New Roman"/>
                <w:sz w:val="20"/>
                <w:szCs w:val="20"/>
              </w:rPr>
              <w:t xml:space="preserve">местное время Заказчика</w:t>
            </w:r>
            <w:r>
              <w:rPr>
                <w:rFonts w:cs="Times New Roman"/>
                <w:sz w:val="20"/>
                <w:szCs w:val="20"/>
              </w:rPr>
              <w:t xml:space="preserve">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 участникам закупки устанавливаются следующие обязательные требования: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непроведение ликвидации участника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не приостановление деятельности участника в порядке, установленном Кодексом Российской Федерации об административных правонарушениях;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</w:t>
            </w:r>
            <w:r>
              <w:rPr>
                <w:sz w:val="20"/>
                <w:szCs w:val="20"/>
              </w:rPr>
              <w:t xml:space="preserve">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</w:t>
            </w:r>
            <w:r>
              <w:rPr>
                <w:sz w:val="20"/>
                <w:szCs w:val="20"/>
              </w:rPr>
              <w:t xml:space="preserve">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</w:t>
            </w:r>
            <w:r>
              <w:rPr>
                <w:sz w:val="20"/>
                <w:szCs w:val="20"/>
              </w:rPr>
              <w:t xml:space="preserve">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sz w:val="20"/>
                <w:szCs w:val="20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отсутствие у участника - физического лица, зарегистрированного в качестве индивидуального предпринимателя, либо у руков</w:t>
            </w:r>
            <w:r>
              <w:rPr>
                <w:sz w:val="20"/>
                <w:szCs w:val="20"/>
              </w:rPr>
              <w:t xml:space="preserve">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</w:t>
            </w:r>
            <w:r>
              <w:rPr>
                <w:sz w:val="20"/>
                <w:szCs w:val="20"/>
              </w:rPr>
              <w:t xml:space="preserve">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sz w:val="20"/>
                <w:szCs w:val="20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отсутствие фактов привлечения в течение двух лет до момента по</w:t>
            </w:r>
            <w:r>
              <w:rPr>
                <w:sz w:val="20"/>
                <w:szCs w:val="20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соответствие участника указанным в документации о конкурентной закупке требованиям законодательства Российской Фе</w:t>
            </w:r>
            <w:r>
              <w:rPr>
                <w:sz w:val="20"/>
                <w:szCs w:val="20"/>
              </w:rPr>
              <w:t xml:space="preserve">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</w:t>
            </w:r>
            <w:r>
              <w:rPr>
                <w:sz w:val="20"/>
                <w:szCs w:val="20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ж) обладание участником конкурентной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з)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/>
            <w:bookmarkStart w:id="0" w:name="_Hlk104888071"/>
            <w:r>
              <w:rPr>
                <w:sz w:val="20"/>
                <w:szCs w:val="20"/>
              </w:rPr>
              <w:t xml:space="preserve">е) участник </w:t>
            </w:r>
            <w:r>
              <w:rPr>
                <w:sz w:val="20"/>
                <w:szCs w:val="20"/>
              </w:rPr>
              <w:t xml:space="preserve">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sz w:val="20"/>
                <w:szCs w:val="20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num" w:leader="none" w:pos="0"/>
                <w:tab w:val="left" w:leader="none" w:pos="851"/>
                <w:tab w:val="left" w:leader="none" w:pos="993"/>
              </w:tabs>
              <w:spacing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к) отсутствие у участника закупки ограничений для </w:t>
            </w:r>
            <w:r>
              <w:rPr>
                <w:sz w:val="20"/>
                <w:szCs w:val="20"/>
              </w:rPr>
              <w:t xml:space="preserve">участия в закупках, установленных законодательством Российской Федерации</w:t>
            </w:r>
            <w:bookmarkEnd w:id="0"/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Отсутствие сведений об участнике процедуры закупки в реестре недобросовестных поставщиков, который </w:t>
            </w:r>
            <w:r>
              <w:rPr>
                <w:rFonts w:cs="Times New Roman"/>
                <w:bCs/>
                <w:sz w:val="20"/>
                <w:szCs w:val="20"/>
              </w:rPr>
              <w:t xml:space="preserve">ведется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а также в реестре недобросовестных поставщиков, предусмотренном статьей 5 </w:t>
            </w:r>
            <w:r>
              <w:rPr>
                <w:rFonts w:cs="Times New Roman"/>
                <w:sz w:val="20"/>
                <w:szCs w:val="20"/>
              </w:rPr>
              <w:t xml:space="preserve">Закона № 223-ФЗ от 18.07.2011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согласие участника закупки на поставку товара на условиях, предусмотренных извещением;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</w:t>
            </w:r>
            <w:r>
              <w:rPr>
                <w:sz w:val="20"/>
                <w:szCs w:val="20"/>
              </w:rPr>
              <w:t xml:space="preserve">и); сведения о месте нахождения, адрес, идентификационный номер налогоплательщика или основной государственный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</w:t>
            </w:r>
            <w:r>
              <w:rPr>
                <w:sz w:val="20"/>
                <w:szCs w:val="20"/>
              </w:rPr>
              <w:t xml:space="preserve">сполняющего функции единоличного исполнительного органа участника закупки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</w:t>
            </w:r>
            <w:r>
              <w:rPr>
                <w:sz w:val="20"/>
                <w:szCs w:val="20"/>
              </w:rPr>
              <w:t xml:space="preserve">чты участника (при их наличии);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полученную н</w:t>
            </w:r>
            <w:r>
              <w:rPr>
                <w:sz w:val="20"/>
                <w:szCs w:val="20"/>
              </w:rPr>
              <w:t xml:space="preserve">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(в том числе сформированную с использованием сервиса «Предоставление сведений из ЕГРЮЛ/ЕГР</w:t>
            </w:r>
            <w:r>
              <w:rPr>
                <w:sz w:val="20"/>
                <w:szCs w:val="20"/>
              </w:rPr>
              <w:t xml:space="preserve">ИП», размещенного на официальном сайте ФНС России в сети Интернет по адресу: https://egrul.nalog.ru) для юридических лиц, полученную не ранее чем за сто восемьдесят дней до дня размещения в ЕИС извещения о проведении запроса оферт в электронной форме выпис</w:t>
            </w:r>
            <w:r>
              <w:rPr>
                <w:sz w:val="20"/>
                <w:szCs w:val="20"/>
              </w:rPr>
              <w:t xml:space="preserve">ку из Единого государственного реестра индивидуальных предпринимателей (в том числе сформированную с использованием сервиса «Предоставление сведений из ЕГРЮЛ/ЕГРИП», размещенного на официальном сайте ФНС России в сети Интернет по адресу: https://egrul.nalo</w:t>
            </w:r>
            <w:r>
              <w:rPr>
                <w:sz w:val="20"/>
                <w:szCs w:val="20"/>
              </w:rPr>
              <w:t xml:space="preserve">g.ru) для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 государственной регистрации юридического лица или государственной регистра</w:t>
            </w:r>
            <w:r>
              <w:rPr>
                <w:sz w:val="20"/>
                <w:szCs w:val="20"/>
              </w:rPr>
              <w:t xml:space="preserve">ции физического лица в качестве индивидуального предпринимателя в соответствии с законодательством соответствующего государства (для иностранного лица), полученные не ранее чем за сто восемьдесят дней до дня размещения в ЕИС извещения о проведении закупки;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копии документов, подтверждающих полномочия лица на осуществление де</w:t>
            </w:r>
            <w:r>
              <w:rPr>
                <w:sz w:val="20"/>
                <w:szCs w:val="20"/>
              </w:rPr>
              <w:t xml:space="preserve">йствий от имени участника закупки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</w:t>
            </w:r>
            <w:r>
              <w:rPr>
                <w:sz w:val="20"/>
                <w:szCs w:val="20"/>
              </w:rPr>
              <w:t xml:space="preserve">без доверенности). 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(при наличии печати</w:t>
            </w:r>
            <w:r>
              <w:rPr>
                <w:sz w:val="20"/>
                <w:szCs w:val="20"/>
              </w:rPr>
              <w:t xml:space="preserve">) и подписанную руководителем (для юридического лица) или уполномоченным руководителем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копии учредительных документов участника закупки (для юридических лиц);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решение о согласии на совершение крупной сделки или о последующем одобрении этой сделки либо копия такого решения в случае, если требование о наличии указанного решения установлено законода</w:t>
            </w:r>
            <w:r>
              <w:rPr>
                <w:sz w:val="20"/>
                <w:szCs w:val="20"/>
              </w:rPr>
              <w:t xml:space="preserve">тельством Российской Федерации, учредительными документами юридического лица и если для участника запроса котировок заключение договора на поставку товара, выполнение работы или оказание услуги, являющихся предметом закупки, обеспечения исполнения договора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, обеспечения гарантийных обязательств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</w:rPr>
              <w:t xml:space="preserve"> является крупной сделкой, либо подписанное уполномоченным лицом участника письмо о том, что такое одобрение не требуется;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документы, подтверждающие соответствие участника закупки требованиям к участникам запроса оферт, установленным заказчиком в извещении, или копии таких документов;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в случаях предоставления копий документов, подтверждающих соответствие товара требованиям, установленным в соответствии с законодательством Российской Федерации (при наличии в соответс</w:t>
            </w:r>
            <w:r>
              <w:rPr>
                <w:sz w:val="20"/>
                <w:szCs w:val="20"/>
              </w:rPr>
              <w:t xml:space="preserve">твии с законодательством Российской Федерации данных требований к указанным товару), при этом не допускается требовать представление таких документов, если в соответствии с законодательством Российской Федерации такие документы передаются вместе с товаром;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предложение о цене договора, а также предложение об иных условиях исполнения договора, если предоставление такого предложения предусмотрено извещением о проведении запроса оферт.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Заявка на участие может включать иные документы, подтверждающие соответствие участника закупки и (или) товара, работы, услуги требованиям, установленным в извещении.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Оператор электронной площадки обеспечивает участнику закупки с участием возможность включения в состав </w:t>
            </w:r>
            <w:r>
              <w:rPr>
                <w:rFonts w:cs="Times New Roman"/>
                <w:bCs/>
                <w:sz w:val="20"/>
                <w:szCs w:val="20"/>
              </w:rPr>
              <w:t xml:space="preserve">заявки и направления заказчику требуемой информации и документов, указанных в п. 1 - 12 настоящего раздела,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</w:t>
            </w: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  <w:t xml:space="preserve">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уведомление оператору электронной </w:t>
            </w:r>
            <w:r>
              <w:rPr>
                <w:rFonts w:cs="Times New Roman"/>
                <w:bCs/>
                <w:sz w:val="20"/>
                <w:szCs w:val="20"/>
              </w:rPr>
              <w:t xml:space="preserve">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05» 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июня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202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года.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«05» июня 2025 года.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</w:t>
            </w:r>
            <w:r>
              <w:rPr>
                <w:rFonts w:cs="Times New Roman"/>
                <w:sz w:val="20"/>
                <w:szCs w:val="20"/>
              </w:rPr>
              <w:t xml:space="preserve">зана наиболее низкая цена товара. При предложении наиболее низкой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непредоставления информации, предусмотренной настоящим пунктом,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несоответствия информации, предусмотренной настоящим пунктом, требованиям извещения о таком запросе оферт;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с неопределенным объемом товаров</w:t>
            </w:r>
            <w:r>
              <w:rPr>
                <w:rFonts w:cs="Times New Roman"/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если предложенная в таких заявках цена единицы товара превышает цену единицы товара, указанную в извещении о проведении запроса оферт, в случае если требование о таком не превышении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отсутствия информа</w:t>
            </w:r>
            <w:r>
              <w:rPr>
                <w:rFonts w:cs="Times New Roman"/>
                <w:sz w:val="20"/>
                <w:szCs w:val="20"/>
              </w:rPr>
              <w:t xml:space="preserve">ции об участнике закупки, субподрядчике (соисполнителе) в едином реестре в случае осуществления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являющем</w:t>
            </w:r>
            <w:r>
              <w:rPr>
                <w:rFonts w:cs="Times New Roman"/>
                <w:sz w:val="20"/>
                <w:szCs w:val="20"/>
              </w:rPr>
              <w:t xml:space="preserve">ся физическим лицом, не зарегистрированным в качестве индивидуального предпринимателя,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 и </w:t>
            </w:r>
            <w:r>
              <w:rPr>
                <w:rFonts w:cs="Times New Roman"/>
                <w:sz w:val="20"/>
                <w:szCs w:val="20"/>
              </w:rPr>
              <w:t xml:space="preserve">надзору в области налогов и сборов, о применении участником такого налогового режима.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Отклонение заявок на участие в запросе оферт в электронной форме по иным основаниям не допускается.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рассмотрения оферт оформляются протоколом, в котором содержится следующая информация: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количество поданных заявок на участие в закупке, а также дата и время регистрации каждой такой заявки;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</w:t>
            </w:r>
            <w:r>
              <w:rPr>
                <w:rFonts w:cs="Times New Roman"/>
                <w:sz w:val="20"/>
                <w:szCs w:val="20"/>
              </w:rPr>
              <w:t xml:space="preserve">орядковые номера заявок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Заявке, в которой содержатся лучшие ус</w:t>
            </w:r>
            <w:r>
              <w:rPr>
                <w:rFonts w:cs="Times New Roman"/>
                <w:sz w:val="20"/>
                <w:szCs w:val="20"/>
              </w:rPr>
              <w:t xml:space="preserve">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же условия;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результаты рассмотрения заявок с указанием в том числе: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а) количества заявок, которые отклонены;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б) оснований отклонения каждой заявки с указанием положений извещения о закупке, которым не соответствуют такие заявка, окончательное предложение.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причины, по которым закупка признана несостоявшейся, в случае признания ее таковой;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иные сведения в случае, если необходимость их указания в протоколе предусмотрена положением о закупке.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2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</w:t>
            </w:r>
            <w:r>
              <w:rPr>
                <w:sz w:val="20"/>
              </w:rPr>
              <w:t xml:space="preserve">исывается в день рассмотрения поданных заявок всеми присутствующими на заседании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заключения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извещении сроки подписанного со своей стороны проекта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</w:t>
            </w:r>
            <w:r>
              <w:rPr>
                <w:rFonts w:cs="Times New Roman"/>
                <w:sz w:val="20"/>
                <w:szCs w:val="20"/>
              </w:rPr>
              <w:t xml:space="preserve">лонением от заключения договора в части,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</w:t>
            </w:r>
            <w:r>
              <w:rPr>
                <w:rFonts w:cs="Times New Roman"/>
                <w:sz w:val="20"/>
                <w:szCs w:val="20"/>
              </w:rPr>
              <w:t xml:space="preserve">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</w:t>
            </w:r>
            <w:r>
              <w:rPr>
                <w:rFonts w:cs="Times New Roman"/>
                <w:sz w:val="20"/>
                <w:szCs w:val="20"/>
              </w:rPr>
              <w:t xml:space="preserve">ии преддоговорных переговоров сторонам запрещается принимать решения об изменении существенных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</w:t>
            </w:r>
            <w:r>
              <w:rPr>
                <w:sz w:val="20"/>
              </w:rPr>
              <w:t xml:space="preserve">цена, предложенная победителем (единственным участником) в заявке на участие.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трех дней со дня подписания протокола 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подписывает договор либо направляет протокол разногласий.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</w:t>
            </w:r>
            <w:r>
              <w:rPr>
                <w:rFonts w:cs="Times New Roman"/>
                <w:sz w:val="20"/>
                <w:szCs w:val="20"/>
              </w:rPr>
              <w:t xml:space="preserve"> результатам проведения закупки.  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вправе отказаться от проведения на любом этапе проведения процедуры, разместив сообщение об</w:t>
            </w:r>
            <w:r>
              <w:rPr>
                <w:sz w:val="20"/>
              </w:rPr>
              <w:t xml:space="preserve"> этом в единой информационной системе и на сайте Заказчика. При отказе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запросе оферт.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94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9" w:type="pct"/>
            <w:vMerge w:val="restart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19" w:type="pct"/>
            <w:vMerge w:val="restart"/>
            <w:textDirection w:val="lrTb"/>
            <w:noWrap w:val="false"/>
          </w:tcPr>
          <w:p>
            <w:pPr>
              <w:pStyle w:val="961"/>
              <w:pBdr/>
              <w:spacing w:before="0"/>
              <w:ind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национального режима при осуществлении закупок в соответствии с Постановлением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вительства РФ от 23 декабря 2024 г. №1875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  <w:r>
              <w:rPr>
                <w:rFonts w:cs="Times New Roman"/>
                <w:b w:val="0"/>
                <w:sz w:val="21"/>
                <w:szCs w:val="21"/>
              </w:rPr>
            </w:r>
            <w:r>
              <w:rPr>
                <w:rFonts w:cs="Times New Roman"/>
                <w:b w:val="0"/>
                <w:sz w:val="21"/>
                <w:szCs w:val="2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ЗАПРЕТ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установлен, в связи с отсутствием кода ОПКД2 предмета закупки в перечнях, указанного постановления Правительства РФ №1875 от 23.12.2024 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12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9" w:type="pct"/>
            <w:vMerge w:val="continue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19" w:type="pct"/>
            <w:vMerge w:val="continue"/>
            <w:textDirection w:val="lrTb"/>
            <w:noWrap w:val="false"/>
          </w:tcPr>
          <w:p>
            <w:pPr>
              <w:pStyle w:val="961"/>
              <w:pBdr/>
              <w:spacing w:before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ОГРАНИЧЕНИЕ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установлено, в связи с отсутствием кода ОПКД2 предмета закупки в перечнях, указанного постановления Правительства РФ №1875 от 23.12.2024 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1129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Merge w:val="continue"/>
            <w:textDirection w:val="lrTb"/>
            <w:noWrap w:val="false"/>
          </w:tcPr>
          <w:p>
            <w:pPr>
              <w:pStyle w:val="976"/>
              <w:pBdr/>
              <w:spacing/>
              <w:ind/>
              <w:jc w:val="center"/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  <w:r>
              <w:rPr>
                <w:rFonts w:cs="Times New Roman"/>
                <w:bCs/>
                <w:sz w:val="21"/>
                <w:szCs w:val="21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vMerge w:val="continue"/>
            <w:textDirection w:val="lrTb"/>
            <w:noWrap w:val="false"/>
          </w:tcPr>
          <w:p>
            <w:pPr>
              <w:pStyle w:val="961"/>
              <w:pBdr/>
              <w:spacing w:before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ПРЕИМУЩЕСТВО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pct"/>
            <w:textDirection w:val="lrTb"/>
            <w:noWrap w:val="false"/>
          </w:tcPr>
          <w:p>
            <w:pPr>
              <w:pStyle w:val="982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применяется, в связи с отсутствием кода ОПКД2 предмета закупки в перечнях, указанного постановления Правительства РФ №1875 от 23.12.2024 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Обоснование начальной (максимальной) цены договора.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Style w:val="960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1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1"/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84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84"/>
        <w:pBdr/>
        <w:spacing w:after="0"/>
        <w:ind/>
        <w:contextualSpacing w:val="true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ЗАЯВКА НА УЧАСТИЕ В ЗАПРОСЕ ОФЕРТ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0"/>
        <w:pBdr/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_______________________________________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70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70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</w:t>
      </w:r>
      <w:r>
        <w:rPr>
          <w:rFonts w:cs="Times New Roman"/>
          <w:sz w:val="20"/>
          <w:szCs w:val="20"/>
        </w:rPr>
        <w:t xml:space="preserve">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</w:t>
      </w:r>
      <w:r>
        <w:rPr>
          <w:rFonts w:cs="Times New Roman"/>
          <w:sz w:val="20"/>
          <w:szCs w:val="20"/>
        </w:rPr>
        <w:t xml:space="preserve">выполнить работы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</w:t>
      </w:r>
      <w:r>
        <w:rPr>
          <w:rFonts w:cs="Times New Roman"/>
          <w:sz w:val="20"/>
          <w:szCs w:val="20"/>
        </w:rPr>
        <w:t xml:space="preserve">поставить товар</w:t>
      </w:r>
      <w:r>
        <w:rPr>
          <w:rFonts w:cs="Times New Roman"/>
          <w:sz w:val="20"/>
          <w:szCs w:val="20"/>
        </w:rPr>
        <w:t xml:space="preserve">, оказать услуги), предусмотренные извещением о закупке на условиях</w:t>
      </w:r>
      <w:r>
        <w:rPr>
          <w:rFonts w:cs="Times New Roman"/>
          <w:sz w:val="20"/>
          <w:szCs w:val="20"/>
        </w:rPr>
        <w:t xml:space="preserve">, предусмотренных извещением.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</w:t>
      </w:r>
      <w:r>
        <w:rPr>
          <w:rFonts w:cs="Times New Roman"/>
          <w:sz w:val="20"/>
          <w:szCs w:val="20"/>
        </w:rPr>
        <w:t xml:space="preserve">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(Приложение № </w:t>
      </w:r>
      <w:r>
        <w:rPr>
          <w:rFonts w:cs="Times New Roman"/>
          <w:sz w:val="20"/>
          <w:szCs w:val="20"/>
          <w:u w:val="single"/>
        </w:rPr>
        <w:t xml:space="preserve">4</w:t>
      </w:r>
      <w:r>
        <w:rPr>
          <w:rFonts w:cs="Times New Roman"/>
          <w:sz w:val="20"/>
          <w:szCs w:val="20"/>
          <w:u w:val="single"/>
        </w:rPr>
        <w:t xml:space="preserve">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</w:t>
      </w:r>
      <w:r>
        <w:rPr>
          <w:rFonts w:cs="Times New Roman"/>
          <w:sz w:val="20"/>
          <w:szCs w:val="20"/>
        </w:rPr>
        <w:t xml:space="preserve">В общую цену До</w:t>
      </w:r>
      <w:r>
        <w:rPr>
          <w:rFonts w:cs="Times New Roman"/>
          <w:sz w:val="20"/>
          <w:szCs w:val="20"/>
        </w:rPr>
        <w:t xml:space="preserve">говора включены все издержки Подрядчика, а также все налоги, пошлины, сборы и другие обязательные платежи,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Мы согласны с тем, что в случае, если нами не были учтены какие-либо расценки на выполнение работ, выполнение работ осуществляется в полном соответствии с условиями договора в пределах предлагаемой нами стоимости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12. Предлагаемая нами цена договора, заключаемого по результатам запроса оферт в электронной форме, составляет: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_______  руб. (сумма прописью), в  т.ч. НДС __% (если предусмотрен) ____ руб. (сумма прописью).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Инструкция по заполнению заявки: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Примечание: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spacing/>
        <w:ind w:right="57" w:firstLine="533" w:left="34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** </w:t>
      </w:r>
      <w:r>
        <w:rPr>
          <w:rFonts w:cs="Times New Roman"/>
          <w:bCs/>
          <w:sz w:val="16"/>
          <w:szCs w:val="16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16"/>
          <w:szCs w:val="16"/>
        </w:rPr>
      </w:r>
      <w:r>
        <w:rPr>
          <w:rFonts w:cs="Times New Roman"/>
          <w:sz w:val="16"/>
          <w:szCs w:val="16"/>
        </w:rPr>
      </w:r>
    </w:p>
    <w:p>
      <w:pPr>
        <w:pStyle w:val="978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форме;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78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/>
        <w:ind w:firstLine="567"/>
        <w:jc w:val="both"/>
        <w:rPr>
          <w:rStyle w:val="988"/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в запросе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форме.</w:t>
      </w:r>
      <w:r>
        <w:rPr>
          <w:rStyle w:val="988"/>
          <w:rFonts w:cs="Times New Roman"/>
          <w:sz w:val="16"/>
          <w:szCs w:val="16"/>
        </w:rPr>
      </w:r>
      <w:r>
        <w:rPr>
          <w:rStyle w:val="988"/>
          <w:rFonts w:cs="Times New Roman"/>
          <w:sz w:val="16"/>
          <w:szCs w:val="16"/>
        </w:rPr>
      </w:r>
    </w:p>
    <w:p>
      <w:pPr>
        <w:pStyle w:val="972"/>
        <w:pBdr/>
        <w:shd w:val="clear" w:color="auto" w:fill="ffffff"/>
        <w:spacing w:after="0" w:before="0"/>
        <w:ind w:firstLine="567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*** Участник закупки должен указать наименования страны происхождения поставляемых товаров.</w:t>
      </w:r>
      <w:r>
        <w:rPr>
          <w:sz w:val="16"/>
          <w:szCs w:val="16"/>
          <w:shd w:val="clear" w:color="auto" w:fill="ffffff"/>
        </w:rPr>
        <w:t xml:space="preserve"> </w:t>
      </w:r>
      <w:r>
        <w:rPr>
          <w:sz w:val="16"/>
          <w:szCs w:val="16"/>
          <w:shd w:val="clear" w:color="auto" w:fill="ffffff"/>
        </w:rPr>
      </w:r>
      <w:r>
        <w:rPr>
          <w:sz w:val="16"/>
          <w:szCs w:val="16"/>
          <w:shd w:val="clear" w:color="auto" w:fill="ffffff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widowControl w:val="true"/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 w:clear="all"/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812"/>
        <w:gridCol w:w="5048"/>
        <w:gridCol w:w="439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87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70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70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70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  <w:r>
        <w:rPr>
          <w:rFonts w:eastAsia="Calibri" w:cs="Times New Roman"/>
          <w:i/>
          <w:sz w:val="20"/>
          <w:szCs w:val="20"/>
        </w:rPr>
      </w:r>
    </w:p>
    <w:p>
      <w:pPr>
        <w:pStyle w:val="970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физ.лиц</w:t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(ая)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(далее – Заказчик).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согласия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_________________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(подпись)   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ambria">
    <w:panose1 w:val="0204050305040603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969"/>
        <w:pBdr/>
        <w:spacing/>
        <w:ind/>
        <w:jc w:val="both"/>
        <w:rPr/>
      </w:pPr>
      <w:r/>
      <w:r/>
    </w:p>
  </w:footnote>
  <w:footnote w:id="3">
    <w:p>
      <w:pPr>
        <w:pStyle w:val="969"/>
        <w:pBdr/>
        <w:spacing/>
        <w:ind/>
        <w:jc w:val="both"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left" w:leader="none" w:pos="0"/>
        </w:tabs>
        <w:spacing/>
        <w:ind w:hanging="432" w:left="432"/>
      </w:pPr>
      <w:pStyle w:val="960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6">
    <w:name w:val="Table Grid Light"/>
    <w:basedOn w:val="9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1"/>
    <w:basedOn w:val="9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2"/>
    <w:basedOn w:val="9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1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2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3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4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5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6"/>
    <w:basedOn w:val="9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1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2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3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4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5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6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1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2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3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4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5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6"/>
    <w:basedOn w:val="9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1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2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3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4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5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6"/>
    <w:basedOn w:val="9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1">
    <w:name w:val="Heading 3"/>
    <w:basedOn w:val="959"/>
    <w:next w:val="959"/>
    <w:link w:val="91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2">
    <w:name w:val="Heading 4"/>
    <w:basedOn w:val="959"/>
    <w:next w:val="959"/>
    <w:link w:val="92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3">
    <w:name w:val="Heading 5"/>
    <w:basedOn w:val="959"/>
    <w:next w:val="959"/>
    <w:link w:val="92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14">
    <w:name w:val="Heading 6"/>
    <w:basedOn w:val="959"/>
    <w:next w:val="959"/>
    <w:link w:val="92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15">
    <w:name w:val="Heading 7"/>
    <w:basedOn w:val="959"/>
    <w:next w:val="959"/>
    <w:link w:val="92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16">
    <w:name w:val="Heading 8"/>
    <w:basedOn w:val="959"/>
    <w:next w:val="959"/>
    <w:link w:val="92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character" w:styleId="917">
    <w:name w:val="Heading 1 Char"/>
    <w:basedOn w:val="963"/>
    <w:link w:val="9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8">
    <w:name w:val="Heading 2 Char"/>
    <w:basedOn w:val="963"/>
    <w:link w:val="9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9">
    <w:name w:val="Heading 3 Char"/>
    <w:basedOn w:val="96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0">
    <w:name w:val="Heading 4 Char"/>
    <w:basedOn w:val="963"/>
    <w:link w:val="91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1">
    <w:name w:val="Heading 5 Char"/>
    <w:basedOn w:val="963"/>
    <w:link w:val="9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22">
    <w:name w:val="Heading 6 Char"/>
    <w:basedOn w:val="963"/>
    <w:link w:val="9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3">
    <w:name w:val="Heading 7 Char"/>
    <w:basedOn w:val="963"/>
    <w:link w:val="91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4">
    <w:name w:val="Heading 8 Char"/>
    <w:basedOn w:val="963"/>
    <w:link w:val="91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5">
    <w:name w:val="Heading 9 Char"/>
    <w:basedOn w:val="963"/>
    <w:link w:val="9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6">
    <w:name w:val="Title"/>
    <w:basedOn w:val="959"/>
    <w:next w:val="959"/>
    <w:link w:val="92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7">
    <w:name w:val="Title Char"/>
    <w:basedOn w:val="963"/>
    <w:link w:val="9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8">
    <w:name w:val="Subtitle"/>
    <w:basedOn w:val="959"/>
    <w:next w:val="959"/>
    <w:link w:val="92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9">
    <w:name w:val="Subtitle Char"/>
    <w:basedOn w:val="963"/>
    <w:link w:val="9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0">
    <w:name w:val="Quote"/>
    <w:basedOn w:val="959"/>
    <w:next w:val="959"/>
    <w:link w:val="93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1">
    <w:name w:val="Quote Char"/>
    <w:basedOn w:val="963"/>
    <w:link w:val="93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2">
    <w:name w:val="Intense Emphasis"/>
    <w:basedOn w:val="9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3">
    <w:name w:val="Intense Quote"/>
    <w:basedOn w:val="959"/>
    <w:next w:val="959"/>
    <w:link w:val="93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4">
    <w:name w:val="Intense Quote Char"/>
    <w:basedOn w:val="963"/>
    <w:link w:val="9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5">
    <w:name w:val="Intense Reference"/>
    <w:basedOn w:val="9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36">
    <w:name w:val="Subtle Emphasis"/>
    <w:basedOn w:val="9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7">
    <w:name w:val="Strong"/>
    <w:basedOn w:val="963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basedOn w:val="9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9">
    <w:name w:val="Book Title"/>
    <w:basedOn w:val="96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0">
    <w:name w:val="Header Char"/>
    <w:basedOn w:val="963"/>
    <w:link w:val="970"/>
    <w:uiPriority w:val="99"/>
    <w:pPr>
      <w:pBdr/>
      <w:spacing/>
      <w:ind/>
    </w:pPr>
  </w:style>
  <w:style w:type="character" w:styleId="941">
    <w:name w:val="Footer Char"/>
    <w:basedOn w:val="963"/>
    <w:link w:val="971"/>
    <w:uiPriority w:val="99"/>
    <w:pPr>
      <w:pBdr/>
      <w:spacing/>
      <w:ind/>
    </w:pPr>
  </w:style>
  <w:style w:type="paragraph" w:styleId="942">
    <w:name w:val="Caption"/>
    <w:basedOn w:val="959"/>
    <w:next w:val="9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43">
    <w:name w:val="Footnote Text Char"/>
    <w:basedOn w:val="963"/>
    <w:link w:val="969"/>
    <w:uiPriority w:val="99"/>
    <w:semiHidden/>
    <w:pPr>
      <w:pBdr/>
      <w:spacing/>
      <w:ind/>
    </w:pPr>
    <w:rPr>
      <w:sz w:val="20"/>
      <w:szCs w:val="20"/>
    </w:rPr>
  </w:style>
  <w:style w:type="paragraph" w:styleId="944">
    <w:name w:val="endnote text"/>
    <w:basedOn w:val="959"/>
    <w:link w:val="9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5">
    <w:name w:val="Endnote Text Char"/>
    <w:basedOn w:val="963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basedOn w:val="963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FollowedHyperlink"/>
    <w:basedOn w:val="9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8">
    <w:name w:val="toc 1"/>
    <w:basedOn w:val="959"/>
    <w:next w:val="959"/>
    <w:uiPriority w:val="39"/>
    <w:unhideWhenUsed/>
    <w:pPr>
      <w:pBdr/>
      <w:spacing w:after="100"/>
      <w:ind/>
    </w:pPr>
  </w:style>
  <w:style w:type="paragraph" w:styleId="949">
    <w:name w:val="toc 2"/>
    <w:basedOn w:val="959"/>
    <w:next w:val="959"/>
    <w:uiPriority w:val="39"/>
    <w:unhideWhenUsed/>
    <w:pPr>
      <w:pBdr/>
      <w:spacing w:after="100"/>
      <w:ind w:left="220"/>
    </w:pPr>
  </w:style>
  <w:style w:type="paragraph" w:styleId="950">
    <w:name w:val="toc 3"/>
    <w:basedOn w:val="959"/>
    <w:next w:val="959"/>
    <w:uiPriority w:val="39"/>
    <w:unhideWhenUsed/>
    <w:pPr>
      <w:pBdr/>
      <w:spacing w:after="100"/>
      <w:ind w:left="440"/>
    </w:pPr>
  </w:style>
  <w:style w:type="paragraph" w:styleId="951">
    <w:name w:val="toc 4"/>
    <w:basedOn w:val="959"/>
    <w:next w:val="959"/>
    <w:uiPriority w:val="39"/>
    <w:unhideWhenUsed/>
    <w:pPr>
      <w:pBdr/>
      <w:spacing w:after="100"/>
      <w:ind w:left="660"/>
    </w:pPr>
  </w:style>
  <w:style w:type="paragraph" w:styleId="952">
    <w:name w:val="toc 5"/>
    <w:basedOn w:val="959"/>
    <w:next w:val="959"/>
    <w:uiPriority w:val="39"/>
    <w:unhideWhenUsed/>
    <w:pPr>
      <w:pBdr/>
      <w:spacing w:after="100"/>
      <w:ind w:left="880"/>
    </w:pPr>
  </w:style>
  <w:style w:type="paragraph" w:styleId="953">
    <w:name w:val="toc 6"/>
    <w:basedOn w:val="959"/>
    <w:next w:val="959"/>
    <w:uiPriority w:val="39"/>
    <w:unhideWhenUsed/>
    <w:pPr>
      <w:pBdr/>
      <w:spacing w:after="100"/>
      <w:ind w:left="1100"/>
    </w:pPr>
  </w:style>
  <w:style w:type="paragraph" w:styleId="954">
    <w:name w:val="toc 7"/>
    <w:basedOn w:val="959"/>
    <w:next w:val="959"/>
    <w:uiPriority w:val="39"/>
    <w:unhideWhenUsed/>
    <w:pPr>
      <w:pBdr/>
      <w:spacing w:after="100"/>
      <w:ind w:left="1320"/>
    </w:pPr>
  </w:style>
  <w:style w:type="paragraph" w:styleId="955">
    <w:name w:val="toc 8"/>
    <w:basedOn w:val="959"/>
    <w:next w:val="959"/>
    <w:uiPriority w:val="39"/>
    <w:unhideWhenUsed/>
    <w:pPr>
      <w:pBdr/>
      <w:spacing w:after="100"/>
      <w:ind w:left="1540"/>
    </w:pPr>
  </w:style>
  <w:style w:type="paragraph" w:styleId="956">
    <w:name w:val="toc 9"/>
    <w:basedOn w:val="959"/>
    <w:next w:val="959"/>
    <w:uiPriority w:val="39"/>
    <w:unhideWhenUsed/>
    <w:pPr>
      <w:pBdr/>
      <w:spacing w:after="100"/>
      <w:ind w:left="1760"/>
    </w:pPr>
  </w:style>
  <w:style w:type="paragraph" w:styleId="957">
    <w:name w:val="TOC Heading"/>
    <w:uiPriority w:val="39"/>
    <w:unhideWhenUsed/>
    <w:pPr>
      <w:pBdr/>
      <w:spacing/>
      <w:ind/>
    </w:pPr>
  </w:style>
  <w:style w:type="paragraph" w:styleId="958">
    <w:name w:val="table of figures"/>
    <w:basedOn w:val="959"/>
    <w:next w:val="959"/>
    <w:uiPriority w:val="99"/>
    <w:unhideWhenUsed/>
    <w:pPr>
      <w:pBdr/>
      <w:spacing w:after="0" w:afterAutospacing="0"/>
      <w:ind/>
    </w:pPr>
  </w:style>
  <w:style w:type="paragraph" w:styleId="959" w:default="1">
    <w:name w:val="Normal"/>
    <w:qFormat/>
    <w:pPr>
      <w:widowControl w:val="false"/>
      <w:pBdr/>
      <w:spacing/>
      <w:ind/>
    </w:pPr>
    <w:rPr>
      <w:rFonts w:cs="Mangal"/>
      <w:sz w:val="24"/>
      <w:szCs w:val="24"/>
      <w:lang w:eastAsia="hi-IN" w:bidi="hi-IN"/>
    </w:rPr>
  </w:style>
  <w:style w:type="paragraph" w:styleId="960">
    <w:name w:val="Heading 1"/>
    <w:basedOn w:val="959"/>
    <w:next w:val="959"/>
    <w:link w:val="974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61">
    <w:name w:val="Heading 2"/>
    <w:basedOn w:val="959"/>
    <w:next w:val="959"/>
    <w:link w:val="975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962">
    <w:name w:val="Heading 9"/>
    <w:basedOn w:val="959"/>
    <w:next w:val="959"/>
    <w:link w:val="992"/>
    <w:uiPriority w:val="9"/>
    <w:semiHidden/>
    <w:unhideWhenUsed/>
    <w:qFormat/>
    <w:pPr>
      <w:keepNext w:val="true"/>
      <w:keepLines w:val="true"/>
      <w:pBdr/>
      <w:spacing w:before="40"/>
      <w:ind/>
      <w:outlineLvl w:val="8"/>
    </w:pPr>
    <w:rPr>
      <w:rFonts w:asciiTheme="majorHAnsi" w:hAnsiTheme="majorHAnsi" w:eastAsiaTheme="majorEastAsia"/>
      <w:i/>
      <w:iCs/>
      <w:color w:val="272727" w:themeColor="text1" w:themeTint="D8"/>
      <w:sz w:val="21"/>
      <w:szCs w:val="19"/>
    </w:rPr>
  </w:style>
  <w:style w:type="character" w:styleId="963" w:default="1">
    <w:name w:val="Default Paragraph Font"/>
    <w:uiPriority w:val="1"/>
    <w:semiHidden/>
    <w:unhideWhenUsed/>
    <w:pPr>
      <w:pBdr/>
      <w:spacing/>
      <w:ind/>
    </w:pPr>
  </w:style>
  <w:style w:type="table" w:styleId="9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5" w:default="1">
    <w:name w:val="No List"/>
    <w:uiPriority w:val="99"/>
    <w:semiHidden/>
    <w:unhideWhenUsed/>
    <w:pPr>
      <w:pBdr/>
      <w:spacing/>
      <w:ind/>
    </w:pPr>
  </w:style>
  <w:style w:type="character" w:styleId="966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67">
    <w:name w:val="Emphasis"/>
    <w:basedOn w:val="963"/>
    <w:qFormat/>
    <w:pPr>
      <w:pBdr/>
      <w:spacing/>
      <w:ind/>
    </w:pPr>
    <w:rPr>
      <w:i/>
      <w:iCs/>
    </w:rPr>
  </w:style>
  <w:style w:type="character" w:styleId="968">
    <w:name w:val="Hyperlink"/>
    <w:uiPriority w:val="99"/>
    <w:unhideWhenUsed/>
    <w:qFormat/>
    <w:pPr>
      <w:pBdr/>
      <w:spacing/>
      <w:ind/>
    </w:pPr>
    <w:rPr>
      <w:color w:val="0000ff"/>
      <w:u w:val="single"/>
    </w:rPr>
  </w:style>
  <w:style w:type="paragraph" w:styleId="969">
    <w:name w:val="footnote text"/>
    <w:basedOn w:val="959"/>
    <w:link w:val="985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70">
    <w:name w:val="Header"/>
    <w:basedOn w:val="959"/>
    <w:link w:val="980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71">
    <w:name w:val="Footer"/>
    <w:basedOn w:val="959"/>
    <w:link w:val="979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72">
    <w:name w:val="Normal (Web)"/>
    <w:basedOn w:val="959"/>
    <w:link w:val="981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73">
    <w:name w:val="Table Grid"/>
    <w:basedOn w:val="964"/>
    <w:qFormat/>
    <w:pPr>
      <w:pBdr/>
      <w:spacing/>
      <w:ind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4" w:customStyle="1">
    <w:name w:val="Заголовок 1 Знак"/>
    <w:basedOn w:val="963"/>
    <w:link w:val="960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75" w:customStyle="1">
    <w:name w:val="Заголовок 2 Знак"/>
    <w:basedOn w:val="963"/>
    <w:link w:val="961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76" w:customStyle="1">
    <w:name w:val="Содержимое таблицы"/>
    <w:basedOn w:val="959"/>
    <w:qFormat/>
    <w:pPr>
      <w:suppressLineNumbers w:val="true"/>
      <w:pBdr/>
      <w:spacing/>
      <w:ind/>
    </w:pPr>
  </w:style>
  <w:style w:type="paragraph" w:styleId="977" w:customStyle="1">
    <w:name w:val="Заголовок таблицы"/>
    <w:basedOn w:val="976"/>
    <w:pPr>
      <w:pBdr/>
      <w:spacing/>
      <w:ind/>
      <w:jc w:val="center"/>
    </w:pPr>
    <w:rPr>
      <w:b/>
      <w:bCs/>
    </w:rPr>
  </w:style>
  <w:style w:type="paragraph" w:styleId="978">
    <w:name w:val="No Spacing"/>
    <w:link w:val="986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79" w:customStyle="1">
    <w:name w:val="Нижний колонтитул Знак"/>
    <w:basedOn w:val="963"/>
    <w:link w:val="971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80" w:customStyle="1">
    <w:name w:val="Верхний колонтитул Знак"/>
    <w:basedOn w:val="963"/>
    <w:link w:val="970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81" w:customStyle="1">
    <w:name w:val="Обычный (Интернет) Знак"/>
    <w:link w:val="972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82" w:customStyle="1">
    <w:name w:val="ConsPlusNormal"/>
    <w:link w:val="983"/>
    <w:qFormat/>
    <w:pPr>
      <w:widowControl w:val="false"/>
      <w:pBdr/>
      <w:spacing/>
      <w:ind/>
    </w:pPr>
    <w:rPr>
      <w:rFonts w:eastAsia="Times New Roman"/>
      <w:sz w:val="24"/>
    </w:rPr>
  </w:style>
  <w:style w:type="character" w:styleId="983" w:customStyle="1">
    <w:name w:val="ConsPlusNormal Знак"/>
    <w:link w:val="982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 w:customStyle="1">
    <w:name w:val="Основной текст 31"/>
    <w:basedOn w:val="959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85" w:customStyle="1">
    <w:name w:val="Текст сноски Знак"/>
    <w:basedOn w:val="963"/>
    <w:link w:val="969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86" w:customStyle="1">
    <w:name w:val="Без интервала Знак"/>
    <w:link w:val="978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87" w:customStyle="1">
    <w:name w:val="Times 12"/>
    <w:basedOn w:val="959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988" w:customStyle="1">
    <w:name w:val="blk"/>
    <w:qFormat/>
    <w:pPr>
      <w:pBdr/>
      <w:spacing/>
      <w:ind/>
    </w:pPr>
  </w:style>
  <w:style w:type="paragraph" w:styleId="989" w:customStyle="1">
    <w:name w:val="s_1"/>
    <w:basedOn w:val="959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  <w:style w:type="paragraph" w:styleId="990" w:customStyle="1">
    <w:name w:val="Обычный1"/>
    <w:qFormat/>
    <w:pPr>
      <w:widowControl w:val="false"/>
      <w:pBdr/>
      <w:spacing/>
      <w:ind/>
    </w:pPr>
    <w:rPr>
      <w:rFonts w:ascii="Calibri" w:hAnsi="Calibri" w:eastAsia="Times New Roman"/>
      <w:sz w:val="22"/>
      <w:szCs w:val="22"/>
    </w:rPr>
  </w:style>
  <w:style w:type="paragraph" w:styleId="991">
    <w:name w:val="List Paragraph"/>
    <w:basedOn w:val="959"/>
    <w:uiPriority w:val="34"/>
    <w:qFormat/>
    <w:pPr>
      <w:widowControl w:val="true"/>
      <w:pBdr/>
      <w:spacing w:after="160" w:line="259" w:lineRule="auto"/>
      <w:ind w:left="720"/>
      <w:contextualSpacing w:val="true"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992" w:customStyle="1">
    <w:name w:val="Заголовок 9 Знак"/>
    <w:basedOn w:val="963"/>
    <w:link w:val="962"/>
    <w:uiPriority w:val="99"/>
    <w:pPr>
      <w:pBdr/>
      <w:spacing/>
      <w:ind/>
    </w:pPr>
    <w:rPr>
      <w:rFonts w:cs="Mangal" w:asciiTheme="majorHAnsi" w:hAnsiTheme="majorHAnsi" w:eastAsiaTheme="majorEastAsia"/>
      <w:i/>
      <w:iCs/>
      <w:color w:val="272727" w:themeColor="text1" w:themeTint="D8"/>
      <w:sz w:val="21"/>
      <w:szCs w:val="19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tarhani26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24</cp:revision>
  <dcterms:created xsi:type="dcterms:W3CDTF">2024-10-15T04:12:00Z</dcterms:created>
  <dcterms:modified xsi:type="dcterms:W3CDTF">2025-06-04T10:38:30Z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6C978AFCC46248C28B56EC32AC582696_12</vt:lpwstr>
  </property>
</Properties>
</file>