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FB" w:rsidRDefault="00FF5B4C">
      <w:pPr>
        <w:widowControl/>
        <w:suppressAutoHyphens w:val="0"/>
        <w:spacing w:after="200" w:line="276" w:lineRule="auto"/>
        <w:jc w:val="right"/>
        <w:rPr>
          <w:rFonts w:ascii="Times New Roman" w:eastAsia="SimSun" w:hAnsi="Times New Roman"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sz w:val="22"/>
          <w:szCs w:val="22"/>
          <w:lang w:eastAsia="hi-IN" w:bidi="hi-IN"/>
        </w:rPr>
        <w:t>Приложение №1 к Техническому заданию</w:t>
      </w:r>
    </w:p>
    <w:p w:rsidR="00A10DFB" w:rsidRDefault="00FF5B4C">
      <w:pPr>
        <w:spacing w:line="276" w:lineRule="auto"/>
        <w:jc w:val="center"/>
        <w:rPr>
          <w:rFonts w:ascii="Times New Roman" w:eastAsia="SimSun" w:hAnsi="Times New Roman"/>
          <w:b/>
          <w:bCs/>
          <w:sz w:val="22"/>
          <w:szCs w:val="22"/>
          <w:lang w:eastAsia="hi-IN" w:bidi="hi-IN"/>
        </w:rPr>
      </w:pPr>
      <w:r>
        <w:rPr>
          <w:rFonts w:ascii="Times New Roman" w:eastAsia="SimSun" w:hAnsi="Times New Roman"/>
          <w:b/>
          <w:bCs/>
          <w:sz w:val="22"/>
          <w:szCs w:val="22"/>
          <w:lang w:eastAsia="hi-IN" w:bidi="hi-IN"/>
        </w:rPr>
        <w:t>Технические характеристики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093"/>
        <w:gridCol w:w="5497"/>
        <w:gridCol w:w="633"/>
        <w:gridCol w:w="683"/>
      </w:tblGrid>
      <w:tr w:rsidR="00A10DFB">
        <w:tc>
          <w:tcPr>
            <w:tcW w:w="439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Технические и функциональные характеристики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Ед. изм</w:t>
            </w:r>
            <w:r w:rsidR="00941ECB">
              <w:rPr>
                <w:rFonts w:ascii="Times New Roman" w:eastAsia="Calibri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/>
                <w:sz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Кол-во</w:t>
            </w:r>
          </w:p>
        </w:tc>
      </w:tr>
      <w:tr w:rsidR="00A10DFB">
        <w:tc>
          <w:tcPr>
            <w:tcW w:w="439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10DFB" w:rsidRDefault="00FF5B4C">
            <w:pPr>
              <w:rPr>
                <w:rFonts w:ascii="Times New Roman" w:eastAsia="Calibri" w:hAnsi="Times New Roman"/>
                <w:b/>
                <w:bCs/>
                <w:sz w:val="22"/>
              </w:rPr>
            </w:pPr>
            <w:r>
              <w:rPr>
                <w:rFonts w:ascii="Times New Roman" w:eastAsia="Times New Roman" w:hAnsi="Times New Roman"/>
                <w:caps/>
                <w:sz w:val="22"/>
                <w:szCs w:val="22"/>
                <w:lang w:eastAsia="ru-RU"/>
              </w:rPr>
              <w:t xml:space="preserve"> Шкафы управления скважинным насосом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A10DFB" w:rsidRDefault="00FF5B4C">
            <w:pPr>
              <w:snapToGrid w:val="0"/>
              <w:rPr>
                <w:rFonts w:ascii="Times New Roman" w:eastAsia="Times New Roman" w:hAnsi="Times New Roman"/>
                <w:cap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Назначение: Управление скважинными насосами</w:t>
            </w:r>
          </w:p>
          <w:p w:rsidR="00A10DFB" w:rsidRDefault="00FF5B4C">
            <w:pPr>
              <w:snapToGrid w:val="0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Мощность двигателя: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согласно мощности скважинных насосов. Шкаф должен обеспечивать управление и защиту с функцией мониторинга скважинного насоса.</w:t>
            </w:r>
          </w:p>
          <w:p w:rsidR="00A10DFB" w:rsidRDefault="00FF5B4C">
            <w:p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Тип пуска скважинных насосов: Плавный/прямой пуск.</w:t>
            </w:r>
          </w:p>
          <w:p w:rsidR="00A10DFB" w:rsidRDefault="00FF5B4C">
            <w:p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Защита электродвигателя насоса: Повышенное </w:t>
            </w:r>
            <w:r w:rsidR="00941ECB">
              <w:rPr>
                <w:rFonts w:ascii="Times New Roman" w:eastAsia="Calibri" w:hAnsi="Times New Roman"/>
                <w:sz w:val="22"/>
              </w:rPr>
              <w:t>потребление тока</w:t>
            </w:r>
            <w:r>
              <w:rPr>
                <w:rFonts w:ascii="Times New Roman" w:eastAsia="Calibri" w:hAnsi="Times New Roman"/>
                <w:sz w:val="22"/>
              </w:rPr>
              <w:t>, заниженное потреб</w:t>
            </w:r>
            <w:r>
              <w:rPr>
                <w:rFonts w:ascii="Times New Roman" w:eastAsia="Calibri" w:hAnsi="Times New Roman"/>
                <w:sz w:val="22"/>
              </w:rPr>
              <w:t xml:space="preserve">ление </w:t>
            </w:r>
            <w:r w:rsidR="00941ECB">
              <w:rPr>
                <w:rFonts w:ascii="Times New Roman" w:eastAsia="Calibri" w:hAnsi="Times New Roman"/>
                <w:sz w:val="22"/>
              </w:rPr>
              <w:t>тока, превышенное напряжения</w:t>
            </w:r>
            <w:r>
              <w:rPr>
                <w:rFonts w:ascii="Times New Roman" w:eastAsia="Calibri" w:hAnsi="Times New Roman"/>
                <w:sz w:val="22"/>
              </w:rPr>
              <w:t xml:space="preserve"> питания, заниженное напряжение питания, перекос фаз, защита от сухого хода.</w:t>
            </w:r>
          </w:p>
          <w:p w:rsidR="00A10DFB" w:rsidRDefault="00FF5B4C">
            <w:p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Сигнализация: местная и дистанционная сигнализация аварии </w:t>
            </w:r>
            <w:r w:rsidR="00941ECB">
              <w:rPr>
                <w:rFonts w:ascii="Times New Roman" w:eastAsia="Calibri" w:hAnsi="Times New Roman"/>
                <w:sz w:val="22"/>
              </w:rPr>
              <w:t>насоса и</w:t>
            </w:r>
            <w:r>
              <w:rPr>
                <w:rFonts w:ascii="Times New Roman" w:eastAsia="Calibri" w:hAnsi="Times New Roman"/>
                <w:sz w:val="22"/>
              </w:rPr>
              <w:t xml:space="preserve"> нештатных ситуаций.  </w:t>
            </w:r>
          </w:p>
          <w:p w:rsidR="00A10DFB" w:rsidRDefault="00FF5B4C">
            <w:p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>Возможность местного и дистанционного (с насосной ста</w:t>
            </w:r>
            <w:r>
              <w:rPr>
                <w:rFonts w:ascii="Times New Roman" w:eastAsia="Calibri" w:hAnsi="Times New Roman"/>
                <w:sz w:val="22"/>
              </w:rPr>
              <w:t>нции второго подъема) управления насосами.</w:t>
            </w:r>
          </w:p>
          <w:p w:rsidR="00A10DFB" w:rsidRDefault="00FF5B4C">
            <w:p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Возможность интеграции шкафа управления в существующую </w:t>
            </w:r>
            <w:r w:rsidR="00941ECB">
              <w:rPr>
                <w:rFonts w:ascii="Times New Roman" w:eastAsia="Calibri" w:hAnsi="Times New Roman"/>
                <w:sz w:val="22"/>
              </w:rPr>
              <w:t>систему диспетчеризации</w:t>
            </w:r>
            <w:r>
              <w:rPr>
                <w:rFonts w:ascii="Times New Roman" w:eastAsia="Calibri" w:hAnsi="Times New Roman"/>
                <w:sz w:val="22"/>
              </w:rPr>
              <w:t>.</w:t>
            </w:r>
          </w:p>
          <w:p w:rsidR="00A10DFB" w:rsidRDefault="00FF5B4C">
            <w:p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Расположение </w:t>
            </w:r>
            <w:r w:rsidR="00941ECB">
              <w:rPr>
                <w:rFonts w:ascii="Times New Roman" w:eastAsia="Calibri" w:hAnsi="Times New Roman"/>
                <w:sz w:val="22"/>
              </w:rPr>
              <w:t>шкафов: в</w:t>
            </w:r>
            <w:r>
              <w:rPr>
                <w:rFonts w:ascii="Times New Roman" w:eastAsia="Calibri" w:hAnsi="Times New Roman"/>
                <w:sz w:val="22"/>
              </w:rPr>
              <w:t xml:space="preserve"> павильонах скважин.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</w:rPr>
              <w:t>6</w:t>
            </w:r>
          </w:p>
        </w:tc>
      </w:tr>
      <w:tr w:rsidR="00A10DFB">
        <w:tc>
          <w:tcPr>
            <w:tcW w:w="439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10DFB" w:rsidRDefault="00FF5B4C">
            <w:pPr>
              <w:rPr>
                <w:rFonts w:ascii="Times New Roman" w:eastAsia="Times New Roman" w:hAnsi="Times New Roman"/>
                <w:cap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2"/>
                <w:szCs w:val="22"/>
                <w:lang w:eastAsia="ru-RU"/>
              </w:rPr>
              <w:t>скважинные насосы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A10DFB" w:rsidRDefault="00FF5B4C">
            <w:pPr>
              <w:snapToGrid w:val="0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Требования к глубинным насосным агрегатам: вертикальное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исполнение, 380в, 50 Гц, подъём от 71м-до 80м, расход – 2 насоса 30м</w:t>
            </w:r>
            <w:r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/ ч, 1 насос 40 м</w:t>
            </w:r>
            <w:r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/ </w:t>
            </w:r>
            <w:r w:rsidR="00941EC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ч,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2 насоса 10 м</w:t>
            </w:r>
            <w:r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/ч, 1 насос 25 м</w:t>
            </w:r>
            <w:r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/ ч. Насосные агрегаты должны быть со встроенным подводным силовым кабелем (4 агр-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каб-45м, 2агр-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каб-25м), Материал корпуса насос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а, вала насоса, муфты насоса и рабочих колёс- нержавеющая сталь, клапан обратный – латунь7чугун. Электродвигатель из нержавеющей стали, водомаслозаполненный, выполненный по стандарту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 w:eastAsia="ru-RU"/>
              </w:rPr>
              <w:t>IP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68 с установленным на всасе фильтра из перфорированного листа из нержав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еющей стали.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шт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</w:rPr>
              <w:t>6</w:t>
            </w:r>
          </w:p>
        </w:tc>
      </w:tr>
      <w:tr w:rsidR="00A10DFB">
        <w:tc>
          <w:tcPr>
            <w:tcW w:w="439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10DFB" w:rsidRDefault="00FF5B4C">
            <w:p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Шкафы </w:t>
            </w:r>
            <w:r w:rsidR="00941ECB">
              <w:rPr>
                <w:rFonts w:ascii="Times New Roman" w:eastAsia="Calibri" w:hAnsi="Times New Roman"/>
                <w:sz w:val="22"/>
                <w:szCs w:val="22"/>
              </w:rPr>
              <w:t>автоматики скважин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A10DFB" w:rsidRDefault="00FF5B4C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Назначение: Сбор и передача в насосную станцию 2-го подъёма </w:t>
            </w:r>
            <w:r w:rsidR="00941ECB">
              <w:rPr>
                <w:rFonts w:ascii="Times New Roman" w:eastAsia="Times New Roman" w:hAnsi="Times New Roman"/>
                <w:sz w:val="22"/>
                <w:lang w:eastAsia="ru-RU"/>
              </w:rPr>
              <w:t>информации о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работе скважинных </w:t>
            </w:r>
            <w:r w:rsidR="00941ECB">
              <w:rPr>
                <w:rFonts w:ascii="Times New Roman" w:eastAsia="Times New Roman" w:hAnsi="Times New Roman"/>
                <w:sz w:val="22"/>
                <w:lang w:eastAsia="ru-RU"/>
              </w:rPr>
              <w:t>насосов (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технологические параметры), аварийных и нештатных ситуаций. Удаленное управление шкафами управления 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>насосами. (пуск/стоп, сброс аварии)</w:t>
            </w:r>
          </w:p>
          <w:p w:rsidR="00A10DFB" w:rsidRDefault="00FF5B4C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Контроль температуры в павильоне, защита павильонов и люков скважин от несанкционированного доступа, давление на выходе из скважин, сигнал затопления (13 скважин</w:t>
            </w:r>
            <w:r w:rsidR="00941ECB">
              <w:rPr>
                <w:rFonts w:ascii="Times New Roman" w:eastAsia="Times New Roman" w:hAnsi="Times New Roman"/>
                <w:sz w:val="22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предусмотреть в шкафу автоматики входы на контроллере 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>для последующем подключении расходомеров электромагнитных и гидростатических датчиков уровня.</w:t>
            </w:r>
          </w:p>
          <w:p w:rsidR="00A10DFB" w:rsidRDefault="00FF5B4C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Связь с диспетчерским пунктом по сети </w:t>
            </w:r>
            <w:r>
              <w:rPr>
                <w:rFonts w:ascii="Times New Roman" w:eastAsia="Times New Roman" w:hAnsi="Times New Roman"/>
                <w:sz w:val="22"/>
                <w:lang w:val="en-US" w:eastAsia="ru-RU"/>
              </w:rPr>
              <w:t>Ethernet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применением оптоволоконной линии связи.</w:t>
            </w:r>
          </w:p>
          <w:p w:rsidR="00A10DFB" w:rsidRDefault="00FF5B4C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Интеграция шкафов в существующую </w:t>
            </w:r>
            <w:r>
              <w:rPr>
                <w:rFonts w:ascii="Times New Roman" w:eastAsia="Times New Roman" w:hAnsi="Times New Roman"/>
                <w:sz w:val="22"/>
                <w:lang w:val="en-US" w:eastAsia="ru-RU"/>
              </w:rPr>
              <w:t>SCADA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систему.</w:t>
            </w:r>
          </w:p>
          <w:p w:rsidR="00A10DFB" w:rsidRDefault="00FF5B4C">
            <w:pPr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Calibri" w:hAnsi="Times New Roman"/>
                <w:sz w:val="22"/>
              </w:rPr>
              <w:t xml:space="preserve">Расположение </w:t>
            </w:r>
            <w:r w:rsidR="00941ECB">
              <w:rPr>
                <w:rFonts w:ascii="Times New Roman" w:eastAsia="Calibri" w:hAnsi="Times New Roman"/>
                <w:sz w:val="22"/>
              </w:rPr>
              <w:t>шкафов: в</w:t>
            </w:r>
            <w:r>
              <w:rPr>
                <w:rFonts w:ascii="Times New Roman" w:eastAsia="Calibri" w:hAnsi="Times New Roman"/>
                <w:sz w:val="22"/>
              </w:rPr>
              <w:t xml:space="preserve"> п</w:t>
            </w:r>
            <w:r>
              <w:rPr>
                <w:rFonts w:ascii="Times New Roman" w:eastAsia="Calibri" w:hAnsi="Times New Roman"/>
                <w:sz w:val="22"/>
              </w:rPr>
              <w:t>авильонах скважин. Предусмотреть локальный подогрев шкафов телемеханики.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шт.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5</w:t>
            </w:r>
          </w:p>
        </w:tc>
      </w:tr>
      <w:tr w:rsidR="00A10DFB">
        <w:tc>
          <w:tcPr>
            <w:tcW w:w="439" w:type="dxa"/>
            <w:shd w:val="clear" w:color="auto" w:fill="auto"/>
            <w:vAlign w:val="center"/>
          </w:tcPr>
          <w:p w:rsidR="00A10DFB" w:rsidRDefault="00FF5B4C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  <w:r>
              <w:rPr>
                <w:rFonts w:ascii="Times New Roman" w:eastAsia="Calibri" w:hAnsi="Times New Roman"/>
                <w:bCs/>
                <w:sz w:val="22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10DFB" w:rsidRDefault="00FF5B4C">
            <w:pPr>
              <w:rPr>
                <w:rFonts w:ascii="Times New Roman" w:eastAsia="Calibri" w:hAnsi="Times New Roman"/>
                <w:sz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Н/с 2-го подъёма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A10DFB" w:rsidRDefault="00941ECB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/>
                <w:sz w:val="2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2"/>
                <w:lang w:eastAsia="ru-RU"/>
              </w:rPr>
              <w:t>Вывод в</w:t>
            </w:r>
            <w:r w:rsidR="00FF5B4C">
              <w:rPr>
                <w:rFonts w:ascii="Times New Roman" w:eastAsia="Times New Roman" w:hAnsi="Times New Roman"/>
                <w:sz w:val="22"/>
                <w:lang w:eastAsia="ru-RU"/>
              </w:rPr>
              <w:t xml:space="preserve"> существующую </w:t>
            </w:r>
            <w:r w:rsidR="00FF5B4C">
              <w:rPr>
                <w:rFonts w:ascii="Times New Roman" w:eastAsia="Times New Roman" w:hAnsi="Times New Roman"/>
                <w:sz w:val="22"/>
                <w:lang w:val="en-US" w:eastAsia="ru-RU"/>
              </w:rPr>
              <w:t>SCADA</w:t>
            </w:r>
            <w:r w:rsidR="00FF5B4C">
              <w:rPr>
                <w:rFonts w:ascii="Times New Roman" w:eastAsia="Times New Roman" w:hAnsi="Times New Roman"/>
                <w:sz w:val="22"/>
                <w:lang w:eastAsia="ru-RU"/>
              </w:rPr>
              <w:t xml:space="preserve"> систему информацию о работе центробежных агрегатов 7 шт (работа насоса, остановка, нагрузка (А)), давление на напорном водоводе п</w:t>
            </w:r>
            <w:r w:rsidR="00FF5B4C">
              <w:rPr>
                <w:rFonts w:ascii="Times New Roman" w:eastAsia="Times New Roman" w:hAnsi="Times New Roman"/>
                <w:sz w:val="22"/>
                <w:lang w:eastAsia="ru-RU"/>
              </w:rPr>
              <w:t>осле насосов.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A10DFB" w:rsidRDefault="00A10DFB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A10DFB" w:rsidRDefault="00A10DFB">
            <w:pPr>
              <w:jc w:val="center"/>
              <w:rPr>
                <w:rFonts w:ascii="Times New Roman" w:eastAsia="Calibri" w:hAnsi="Times New Roman"/>
                <w:bCs/>
                <w:sz w:val="22"/>
              </w:rPr>
            </w:pPr>
          </w:p>
        </w:tc>
      </w:tr>
    </w:tbl>
    <w:p w:rsidR="00A10DFB" w:rsidRDefault="00A10DFB"/>
    <w:sectPr w:rsidR="00A1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B4C" w:rsidRDefault="00FF5B4C">
      <w:r>
        <w:separator/>
      </w:r>
    </w:p>
  </w:endnote>
  <w:endnote w:type="continuationSeparator" w:id="0">
    <w:p w:rsidR="00FF5B4C" w:rsidRDefault="00FF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B4C" w:rsidRDefault="00FF5B4C">
      <w:r>
        <w:separator/>
      </w:r>
    </w:p>
  </w:footnote>
  <w:footnote w:type="continuationSeparator" w:id="0">
    <w:p w:rsidR="00FF5B4C" w:rsidRDefault="00FF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B6"/>
    <w:rsid w:val="0005071E"/>
    <w:rsid w:val="001A4DF8"/>
    <w:rsid w:val="002121C0"/>
    <w:rsid w:val="00233A95"/>
    <w:rsid w:val="00236065"/>
    <w:rsid w:val="003D20F3"/>
    <w:rsid w:val="005C6412"/>
    <w:rsid w:val="00646580"/>
    <w:rsid w:val="00755F38"/>
    <w:rsid w:val="00911D3C"/>
    <w:rsid w:val="00941ECB"/>
    <w:rsid w:val="00A10DFB"/>
    <w:rsid w:val="00A40453"/>
    <w:rsid w:val="00A8670C"/>
    <w:rsid w:val="00AE40DC"/>
    <w:rsid w:val="00B74BC0"/>
    <w:rsid w:val="00D52B29"/>
    <w:rsid w:val="00D5442A"/>
    <w:rsid w:val="00D7487E"/>
    <w:rsid w:val="00D81EA9"/>
    <w:rsid w:val="00DA700B"/>
    <w:rsid w:val="00E849B6"/>
    <w:rsid w:val="00EA5272"/>
    <w:rsid w:val="00F55FE3"/>
    <w:rsid w:val="00FF5B4C"/>
    <w:rsid w:val="1B5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199D7-4221-4719-8622-79AE44E0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Pa4">
    <w:name w:val="Pa4"/>
    <w:basedOn w:val="a"/>
    <w:next w:val="a"/>
    <w:uiPriority w:val="99"/>
    <w:pPr>
      <w:widowControl/>
      <w:suppressAutoHyphens w:val="0"/>
      <w:autoSpaceDE w:val="0"/>
      <w:autoSpaceDN w:val="0"/>
      <w:adjustRightInd w:val="0"/>
      <w:spacing w:line="161" w:lineRule="atLeast"/>
    </w:pPr>
    <w:rPr>
      <w:rFonts w:ascii="Roboto" w:eastAsiaTheme="minorHAnsi" w:hAnsi="Roboto" w:cstheme="minorBidi"/>
      <w:kern w:val="0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1E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CB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Теллур</dc:creator>
  <cp:lastModifiedBy>User</cp:lastModifiedBy>
  <cp:revision>3</cp:revision>
  <cp:lastPrinted>2025-06-25T09:23:00Z</cp:lastPrinted>
  <dcterms:created xsi:type="dcterms:W3CDTF">2025-06-23T10:41:00Z</dcterms:created>
  <dcterms:modified xsi:type="dcterms:W3CDTF">2025-06-25T10:52:00Z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EBA2F013FD4B4809BD856809DE6A4F88_12</vt:lpwstr>
  </property>
</Properties>
</file>